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8C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240E3F" w:rsidRDefault="0067248E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  <w:r w:rsidRPr="00B81D5F">
        <w:rPr>
          <w:rFonts w:ascii="Bookman Old Style" w:hAnsi="Bookman Old Style" w:cs="Arial"/>
          <w:b/>
        </w:rPr>
        <w:t xml:space="preserve">NOTA </w:t>
      </w:r>
      <w:r>
        <w:rPr>
          <w:rFonts w:ascii="Bookman Old Style" w:hAnsi="Bookman Old Style" w:cs="Arial"/>
          <w:b/>
        </w:rPr>
        <w:t>TÉCNICA</w:t>
      </w:r>
    </w:p>
    <w:p w:rsidR="00C02D8C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</w:p>
    <w:p w:rsidR="00C02D8C" w:rsidRPr="00C02D8C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</w:p>
    <w:p w:rsidR="00C02D8C" w:rsidRPr="00C02D8C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  <w:r w:rsidRPr="00C02D8C">
        <w:rPr>
          <w:rFonts w:ascii="Bookman Old Style" w:hAnsi="Bookman Old Style" w:cs="Arial"/>
          <w:b/>
        </w:rPr>
        <w:t xml:space="preserve">PRIVATIZAÇÃO E DESNACIONALIZAÇÃO </w:t>
      </w:r>
    </w:p>
    <w:p w:rsidR="00C02D8C" w:rsidRPr="00C02D8C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  <w:r w:rsidRPr="00C02D8C">
        <w:rPr>
          <w:rFonts w:ascii="Bookman Old Style" w:hAnsi="Bookman Old Style" w:cs="Arial"/>
          <w:b/>
        </w:rPr>
        <w:t>DA ELETROBRAS</w:t>
      </w:r>
    </w:p>
    <w:p w:rsidR="00C02D8C" w:rsidRDefault="00C02D8C" w:rsidP="00C02D8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Pr="008B21DA" w:rsidRDefault="00C02D8C" w:rsidP="00C02D8C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Pr="009E7C50" w:rsidRDefault="00C02D8C" w:rsidP="00C02D8C">
      <w:pPr>
        <w:shd w:val="clear" w:color="auto" w:fill="FFFFFF"/>
        <w:spacing w:after="0" w:line="240" w:lineRule="auto"/>
        <w:ind w:right="140"/>
        <w:rPr>
          <w:rFonts w:ascii="PMNCaeciliaW01-45Light" w:eastAsia="Times New Roman" w:hAnsi="PMNCaeciliaW01-45Light" w:cs="Arial"/>
          <w:color w:val="555555"/>
          <w:sz w:val="21"/>
          <w:szCs w:val="21"/>
          <w:lang w:eastAsia="pt-BR"/>
        </w:rPr>
      </w:pP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  <w:t>DO ÁLIBI</w:t>
      </w: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De forma irresponsável e leviana, o governo Temer anuncia a privatização do Setor Elétrico Nacional sem levar em consideração impedimentos constitucionais referentes ao controle da Eletronuclear e aos acordos binacionais.</w:t>
      </w:r>
    </w:p>
    <w:p w:rsidR="00C02D8C" w:rsidRPr="00A06DCD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A06DCD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Surpreende ainda que tais medidas venham a ser tomadas sem nenhuma consulta à sociedade em tema de relevante interesse ao país.</w:t>
      </w:r>
      <w:r w:rsidRPr="00A06DCD">
        <w:t xml:space="preserve"> </w:t>
      </w:r>
    </w:p>
    <w:p w:rsidR="00C02D8C" w:rsidRPr="00890707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060735"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  <w:t>Incompetência ou farsa?</w:t>
      </w:r>
      <w:r w:rsidRPr="00890707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Fica difícil saber. O aumento do déficit fiscal funciona, na verdade, como um excelente álibi para justificar a privatização de empresas e o desmonte do estado.  A lógica do " precisamos vender e demitir senão o rombo aumenta" tem sustentado esses crimes contra o patrimônio público.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As</w:t>
      </w:r>
      <w:r w:rsidRPr="00890707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empresas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pública</w:t>
      </w:r>
      <w:r w:rsidRPr="00890707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s são vendidas à iniciativa privada sob o discurso da eficiência e da geração de receitas extras para reduzir o estoque da dívida púbica. No entanto, quando são analisados os resultados do processo de privatização do setor elétrico brasileiro da década de 1990, é possível verificar a precarização dos serviços e das condições de trabalho e o aumento das tarifas acima dos índices de inflação.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A privatização ocorreu mais fortemente no segmento de distribuição, que alcançou grande parte das empresas estaduais de distribuição. Segundo o discurso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neoliberal </w:t>
      </w: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preconizado na segunda metade da década de 1990, o processo </w:t>
      </w: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lastRenderedPageBreak/>
        <w:t xml:space="preserve">decorrente da entrada do capital privado no setor elétrico induziria ao aumento dos investimentos, garantindo o fornecimento de energia elétrica por meio da ampliação da oferta. A lógica privada estimularia a eficiência e a produtividade, resultando em ganhos para os consumidores, com a melhora no serviços e menores tarifas. 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O que se observa, no entanto, é a introdução de uma lógica mercantil, cujos resultados foram o aumento significativo das tarifas e a piora dos serviços prestados e das condições de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trabalho. As mudanças estruturais não foram capazes de suprir o país da oferta de energia elétrica necessária, conforme verificado em 2001, quando o Brasil enfrentou o maior racionamento energético da história mundial em tempos de paz (BNDES, 2008). Mesmo assim, o setor tem sido um dos recordistas em distribuição de dividendos - em 2014 foram distribuídos R$ 13,7 bilhões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C33404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(segundo a Consultoria Economática).</w:t>
      </w: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  <w:t>D</w:t>
      </w:r>
      <w:r w:rsidRPr="00A31E42"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  <w:t>A ELETROBRÁS</w:t>
      </w:r>
    </w:p>
    <w:p w:rsidR="00C02D8C" w:rsidRPr="00A31E42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</w:p>
    <w:p w:rsidR="00C02D8C" w:rsidRPr="00FC65A7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FC65A7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A Eletrobrás é a principal empresa de geração e transmissão de energia do pais: possui 31% da capacidade de geração, 47% das linhas de transmissão e 5,1% do fornecimento ao mercado consumidor no país. 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5A3058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empresa </w:t>
      </w:r>
      <w:r w:rsidRPr="005A3058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é controladora de 13 subsidiárias de geração, transmissão e distribuição de energia, e metade do capital de Itaipu Binacional - além de participação indireta em 178 Sociedades de Propósito Específico (SPE) e participações minoritárias em 25 sociedades.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3C2A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A Eletrobrás é a garantidora de segurança energética do pais.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D</w:t>
      </w:r>
      <w:r w:rsidRPr="007747E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iferentemente do “apagão” de 2001 no governo FHC,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em 2013 e 2014 </w:t>
      </w:r>
      <w:r w:rsidRPr="007747E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o sistema elétrico brasileiro sustentou a demanda por energia sem racionamento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durante a maior crise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lastRenderedPageBreak/>
        <w:t>hídrica em 50 anos</w:t>
      </w:r>
      <w:r w:rsidRPr="007747E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, o que mostra o acerto do modelo implantado por Lula e Dilma nos anos anteriores, que deu segurança ao suprimento com redução de tarifas.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3C2A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A empresa se transformou em um dos maiores agentes do setor elétrico brasileiro durante os governos de Lula e Dilma. Participou dos consórcios responsáveis por hidrelétricas como Belo Monte, o maior projeto do país na área de geração de energia elétrica,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Santo Antônio e Jirau no rio Madeira, </w:t>
      </w:r>
      <w:r w:rsidRPr="003C2A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além da construção de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milhares de quilômetros de </w:t>
      </w:r>
      <w:r w:rsidRPr="003C2A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linhas de transmissão. </w:t>
      </w:r>
    </w:p>
    <w:p w:rsidR="00C02D8C" w:rsidRDefault="00C02D8C" w:rsidP="00C02D8C">
      <w:pPr>
        <w:spacing w:before="120" w:after="120" w:line="240" w:lineRule="auto"/>
        <w:ind w:right="14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</w:p>
    <w:p w:rsidR="00C02D8C" w:rsidRPr="00A31E42" w:rsidRDefault="00C02D8C" w:rsidP="00C02D8C">
      <w:pPr>
        <w:pStyle w:val="PargrafodaLista"/>
        <w:ind w:right="140"/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</w:pPr>
      <w:r w:rsidRPr="00A31E42">
        <w:rPr>
          <w:rFonts w:ascii="Times New Roman" w:eastAsia="Times New Roman" w:hAnsi="Times New Roman"/>
          <w:b/>
          <w:color w:val="555555"/>
          <w:sz w:val="24"/>
          <w:szCs w:val="24"/>
          <w:lang w:eastAsia="pt-BR"/>
        </w:rPr>
        <w:t>DA PRIVATIZAÇÃO</w:t>
      </w:r>
    </w:p>
    <w:p w:rsidR="00C02D8C" w:rsidRPr="00A31E42" w:rsidRDefault="00C02D8C" w:rsidP="00C02D8C">
      <w:pPr>
        <w:spacing w:before="120" w:after="120" w:line="240" w:lineRule="auto"/>
        <w:ind w:right="14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</w:p>
    <w:p w:rsidR="00C02D8C" w:rsidRPr="00C74A2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O </w:t>
      </w:r>
      <w:r w:rsidRPr="00C74A2C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MME colocou em consulta pública a Nota Técnica 05/2017-MME, que tratava privatização de algumas usinas hidrelétricas, descontratação e venda de energia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. É uma</w:t>
      </w:r>
      <w:r w:rsidRPr="00C74A2C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mudança geral do marco regulatório do setor elétrico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, criado nos governos Lula e Dilma, que proporcionou segurança energética e expansão do parque gerador e da transmissão.</w:t>
      </w:r>
    </w:p>
    <w:p w:rsidR="00C02D8C" w:rsidRPr="00F3194F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F3194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A Nota Técnica se caracteriza por ser a mais agressiva tentativa, de transferir os recursos energéticos para o mercado livre de energia com favorecimento claro para comercializadores, com a consequente elevação do preço da energia no país, ou seja, à custa do cidadão consumidor de energia. Tem como uma das principais modificações a descotização, ou a descontratação da energia das usinas amortizadas, já alocadas às distribuidoras, colocando essas cotas à venda no mercado livre pelo maior preço, transferindo o lucro para os agentes e o Tesouro Nacional, com consequente aumento da tarifa dos consumidores cativos das distribuidoras que terão de substituir a energia das cotas por outras mais caras.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De forma ardilosa, o governo acelera a privatização expressa nos pressupostos da Nota Técnica e anuncia a desestatização do grupo Eletrobrás por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lastRenderedPageBreak/>
        <w:t>meio da venda do controle acionário da União, que hoje é de 59,71%. Aparentemente, a nova modalidade de alienação dos ativos é mais rápida e independe de autorização legislativa, conforme o art. 4º da Lei nº 9.491/1997:</w:t>
      </w:r>
    </w:p>
    <w:p w:rsidR="00C02D8C" w:rsidRPr="00541324" w:rsidRDefault="00C02D8C" w:rsidP="00C02D8C">
      <w:pPr>
        <w:spacing w:after="0" w:line="240" w:lineRule="auto"/>
        <w:ind w:left="2693" w:right="140"/>
        <w:jc w:val="both"/>
        <w:rPr>
          <w:rFonts w:ascii="Times New Roman" w:eastAsia="Times New Roman" w:hAnsi="Times New Roman"/>
          <w:color w:val="555555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Cs w:val="24"/>
          <w:lang w:eastAsia="pt-BR"/>
        </w:rPr>
        <w:t xml:space="preserve"> “</w:t>
      </w:r>
      <w:r w:rsidRPr="00541324">
        <w:rPr>
          <w:rFonts w:ascii="Times New Roman" w:eastAsia="Times New Roman" w:hAnsi="Times New Roman"/>
          <w:color w:val="555555"/>
          <w:szCs w:val="24"/>
          <w:lang w:eastAsia="pt-BR"/>
        </w:rPr>
        <w:t xml:space="preserve">Art.  4º As desestatizações serão executadas mediante as seguintes modalidades operacionais: </w:t>
      </w:r>
    </w:p>
    <w:p w:rsidR="00C02D8C" w:rsidRPr="00541324" w:rsidRDefault="00C02D8C" w:rsidP="00C02D8C">
      <w:pPr>
        <w:spacing w:after="0" w:line="240" w:lineRule="auto"/>
        <w:ind w:left="2693" w:right="140"/>
        <w:jc w:val="both"/>
        <w:rPr>
          <w:rFonts w:ascii="Times New Roman" w:eastAsia="Times New Roman" w:hAnsi="Times New Roman"/>
          <w:color w:val="555555"/>
          <w:szCs w:val="24"/>
          <w:lang w:eastAsia="pt-BR"/>
        </w:rPr>
      </w:pPr>
      <w:r w:rsidRPr="00541324">
        <w:rPr>
          <w:rFonts w:ascii="Times New Roman" w:eastAsia="Times New Roman" w:hAnsi="Times New Roman"/>
          <w:color w:val="555555"/>
          <w:szCs w:val="24"/>
          <w:lang w:eastAsia="pt-BR"/>
        </w:rPr>
        <w:t xml:space="preserve">I - alienação de participação societária, inclusive de controle acionário, preferencialmente mediante a pulverização de ações; </w:t>
      </w:r>
    </w:p>
    <w:p w:rsidR="00C02D8C" w:rsidRPr="00541324" w:rsidRDefault="00C02D8C" w:rsidP="00C02D8C">
      <w:pPr>
        <w:spacing w:after="0" w:line="240" w:lineRule="auto"/>
        <w:ind w:left="2693" w:right="140"/>
        <w:jc w:val="both"/>
        <w:rPr>
          <w:rFonts w:ascii="Times New Roman" w:eastAsia="Times New Roman" w:hAnsi="Times New Roman"/>
          <w:color w:val="555555"/>
          <w:szCs w:val="24"/>
          <w:lang w:eastAsia="pt-BR"/>
        </w:rPr>
      </w:pPr>
      <w:r w:rsidRPr="00541324">
        <w:rPr>
          <w:rFonts w:ascii="Times New Roman" w:eastAsia="Times New Roman" w:hAnsi="Times New Roman"/>
          <w:color w:val="555555"/>
          <w:szCs w:val="24"/>
          <w:lang w:eastAsia="pt-BR"/>
        </w:rPr>
        <w:t>...</w:t>
      </w:r>
    </w:p>
    <w:p w:rsidR="00C02D8C" w:rsidRDefault="00C02D8C" w:rsidP="00C02D8C">
      <w:pPr>
        <w:spacing w:after="0" w:line="240" w:lineRule="auto"/>
        <w:ind w:left="2693" w:right="140"/>
        <w:jc w:val="both"/>
        <w:rPr>
          <w:rFonts w:ascii="Times New Roman" w:eastAsia="Times New Roman" w:hAnsi="Times New Roman"/>
          <w:color w:val="555555"/>
          <w:szCs w:val="24"/>
          <w:lang w:eastAsia="pt-BR"/>
        </w:rPr>
      </w:pPr>
      <w:r w:rsidRPr="00541324">
        <w:rPr>
          <w:rFonts w:ascii="Times New Roman" w:eastAsia="Times New Roman" w:hAnsi="Times New Roman"/>
          <w:color w:val="555555"/>
          <w:szCs w:val="24"/>
          <w:lang w:eastAsia="pt-BR"/>
        </w:rPr>
        <w:t>§ 3° Nas desestatizações executadas mediante as modalidades operacionais previstas nos incisos I, IV, V, VI e VII deste artigo, a licitação poderá ser realizada na modalidade de leilão.</w:t>
      </w:r>
      <w:r>
        <w:rPr>
          <w:rFonts w:ascii="Times New Roman" w:eastAsia="Times New Roman" w:hAnsi="Times New Roman"/>
          <w:color w:val="555555"/>
          <w:szCs w:val="24"/>
          <w:lang w:eastAsia="pt-BR"/>
        </w:rPr>
        <w:t xml:space="preserve"> </w:t>
      </w:r>
    </w:p>
    <w:p w:rsidR="00C02D8C" w:rsidRDefault="00C02D8C" w:rsidP="00C02D8C">
      <w:pPr>
        <w:spacing w:after="0" w:line="240" w:lineRule="auto"/>
        <w:ind w:left="2693" w:right="140"/>
        <w:jc w:val="both"/>
        <w:rPr>
          <w:rFonts w:ascii="Times New Roman" w:eastAsia="Times New Roman" w:hAnsi="Times New Roman"/>
          <w:color w:val="555555"/>
          <w:szCs w:val="24"/>
          <w:lang w:eastAsia="pt-BR"/>
        </w:rPr>
      </w:pP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b/>
          <w:strike/>
          <w:color w:val="555555"/>
          <w:sz w:val="24"/>
          <w:szCs w:val="24"/>
          <w:lang w:eastAsia="pt-BR"/>
        </w:rPr>
      </w:pPr>
      <w:r w:rsidRPr="00951775">
        <w:rPr>
          <w:rFonts w:ascii="Times New Roman" w:eastAsia="Times New Roman" w:hAnsi="Times New Roman"/>
          <w:b/>
          <w:strike/>
          <w:color w:val="555555"/>
          <w:sz w:val="24"/>
          <w:szCs w:val="24"/>
          <w:lang w:eastAsia="pt-BR"/>
        </w:rPr>
        <w:t>Provavelmente, na próxima reunião do Conselho do Programa de Parcerias de Investimentos (PPI) em 23/08, o Ministério de Minas e Energia irá aprovar a proposta de redução da participação da União no capital da empresa.</w:t>
      </w:r>
    </w:p>
    <w:p w:rsidR="00951775" w:rsidRPr="00951775" w:rsidRDefault="00951775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95177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Em reunião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do Conselho do Programa de Parcerias de Investimentos (PPI) do dia 23/08, foi aprovada a inclusão da venda de ativos da Eletrobrás e a abertura de capital, com objetivo de reduzir a participação majoritária da União na empresa.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Em</w:t>
      </w:r>
      <w:r w:rsidRPr="00B5642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comunicado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de 21/08</w:t>
      </w:r>
      <w:r w:rsidRPr="00B5642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, o MME cita como justificativa para a privatização a dívida da empresa.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Em 2013, a</w:t>
      </w:r>
      <w:r w:rsidRPr="0013402A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Eletrobrás foi principal responsável pela queda das tarifas verificada, porém sofreu significativa queda nas suas rece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itas e de suas geradoras (CHESF e</w:t>
      </w:r>
      <w:r w:rsidRPr="0013402A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Furnas)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. Isso porque, de</w:t>
      </w:r>
      <w:r w:rsidRPr="00B5642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forma simples e justa, a Lei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nº </w:t>
      </w:r>
      <w:r w:rsidRPr="00B5642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12.783/2013 (inicialmente MP nº 579/2012) transferiu para a tarifa os ganhos na renovação das concessões, com base no custo médio de geração das usinas amortizadas e mais um ganho para as empresas.</w:t>
      </w:r>
    </w:p>
    <w:p w:rsidR="00C02D8C" w:rsidRPr="00465FFE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13402A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lastRenderedPageBreak/>
        <w:t>Porém, o modelo foi violentamente boicotado pelo PSDB, que possuía o controle de três empresas geradoras de energia no Sudeste: CESP, CEMIG e COPEL. Essas geradoras não aderiram ao modelo de antecipação das concessões com redução de tarifas, em benefício de operadores do mercado e acionistas privados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31536F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O anúncio do novo governo federal do retorno da política de privatizações no setor, com a venda de empresas do grupo Eletrobrás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deverá, segundo estimativas do MME, render cerca de R$ 20 bilhões. Cabe destacar que a receita líquida anual do grupo em 2016 foi de R$ 60 bilhões anuais, um crescimento de 86,4% em relação a 2015. As ações se valorizaram 240%, sendo a segunda maior alta do ano na Bolsa de Valores brasileira.</w:t>
      </w:r>
    </w:p>
    <w:p w:rsidR="00C02D8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Uma vez mais, nossos recursos naturais estão sendo cobiçados pelo capital internacional. Os recursos hídricos abundantes do país e a energia produzida por fontes renováveis são fatores estratégicos para a economia e o desenvolvimento de qualquer país, porém no Brasil correm o risco de se transformar em meros ativos vendidos a preços irrisórios para os grupos econômicos internacionais.</w:t>
      </w:r>
    </w:p>
    <w:p w:rsidR="00C02D8C" w:rsidRPr="0054583D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54583D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A política de privatização coloca em cheque o protagonismo nacional no planejamento e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54583D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na operação da matriz elétrica brasileira. Nesse caso, há ainda forte indicativo de que os grupos estatais chineses China Three Gorges e State Grid serão os principais agentes a operar o setor. Chama a atenção o fato de que a privatização, de certo modo, apresenta-se como um processo de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54583D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estatização, uma vez que empresas públicas brasileiras poderão ser vendidas para empresas estatais estrangeiras. </w:t>
      </w:r>
    </w:p>
    <w:p w:rsidR="00C02D8C" w:rsidRPr="00FE6925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FE69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Esse processo de desnacionalização do setor elétrico já está em curso. Quando for finalizado o processo de compra dos ativos da Duke Energy, o grupo estatal chinês “State Grid” assumirá a </w:t>
      </w:r>
      <w:r w:rsidRPr="00FE69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lastRenderedPageBreak/>
        <w:t xml:space="preserve">segunda posição na geração.  Por meio da aquisição da CPFL, que atualmente é uma das maiores empresas do segmento de distribuição no país, passará a ter participações nos segmentos de geração e também distribuição, estabelecendo, desta maneira, uma estrutura verticalizada e tornando-se assim um dos maiores grupos do setor elétrico brasileiro. A também chinesa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“</w:t>
      </w:r>
      <w:r w:rsidRPr="00FE69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Three Gorgeous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”</w:t>
      </w:r>
      <w:r w:rsidRPr="00FE69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adquiriu as usinas da CESP que não renovaram as concessões. Assim o país caminha para “privatizar” suas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FE6925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estatais de energia para ESTATAIS CHINESAS.</w:t>
      </w:r>
    </w:p>
    <w:p w:rsidR="00C02D8C" w:rsidRPr="003A1C2C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3A1C2C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O país segue na 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contramão do restante do mundo. </w:t>
      </w:r>
      <w:r w:rsidRPr="003A1C2C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Além de os serviços de distribuição de energia elétrica serem majoritariamente estatal e com capital de origem nacional, nos países europeus, a questão é tratada como de segurança nacional, razão pela qual diferentes países têm barrado investimentos internacionais no setor.</w:t>
      </w:r>
      <w:r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 xml:space="preserve"> </w:t>
      </w:r>
      <w:r w:rsidRPr="003A1C2C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Por exemplo, na França, a empresa EDF é verticalizada (mesma empresa cuida da geração, transmissão e distribuição) e o Estado detém 84% das ações. Na Itália, nenhum investidor individual pode deter mais de 3% do capital total da empresa de energia.</w:t>
      </w:r>
    </w:p>
    <w:p w:rsidR="00C02D8C" w:rsidRPr="007F5C10" w:rsidRDefault="00C02D8C" w:rsidP="00C02D8C">
      <w:pPr>
        <w:pStyle w:val="PargrafodaLista"/>
        <w:numPr>
          <w:ilvl w:val="0"/>
          <w:numId w:val="2"/>
        </w:numPr>
        <w:spacing w:before="120" w:after="120" w:line="240" w:lineRule="auto"/>
        <w:ind w:left="1135" w:right="140" w:hanging="284"/>
        <w:contextualSpacing w:val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 w:rsidRPr="007F5C10">
        <w:rPr>
          <w:rFonts w:ascii="Times New Roman" w:eastAsia="Times New Roman" w:hAnsi="Times New Roman"/>
          <w:color w:val="555555"/>
          <w:sz w:val="24"/>
          <w:szCs w:val="24"/>
          <w:lang w:eastAsia="pt-BR"/>
        </w:rPr>
        <w:t>Recentemente, a Austrália, os Estados Unidos e a Alemanha barraram investimentos chineses da ordem de US$ 38,9 bilhões no setor de energia e em outros, alegando questões de segurança nacional (VALOR ECONÔMICO, 25/10/2016). A Austrália bloqueou ofertas da estatal chinesa “State Grid” para comprar uma participação na maior concessionária de energia elétrica do país, a estatal “Ausgrid” (VALOR ECONÔMICO, 12/08/2026).</w:t>
      </w:r>
    </w:p>
    <w:p w:rsidR="00C02D8C" w:rsidRDefault="00C02D8C" w:rsidP="00C02D8C">
      <w:pPr>
        <w:pStyle w:val="PargrafodaLista"/>
        <w:ind w:right="140" w:firstLine="84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</w:p>
    <w:p w:rsidR="00C02D8C" w:rsidRDefault="00C02D8C" w:rsidP="00C02D8C">
      <w:pPr>
        <w:pStyle w:val="PargrafodaLista"/>
        <w:ind w:right="140" w:firstLine="840"/>
        <w:jc w:val="both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</w:p>
    <w:p w:rsidR="00C02D8C" w:rsidRPr="0036273D" w:rsidRDefault="00C02D8C" w:rsidP="00C02D8C">
      <w:pPr>
        <w:pStyle w:val="PargrafodaLista"/>
        <w:ind w:left="993" w:right="140" w:firstLine="131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555555"/>
          <w:sz w:val="24"/>
          <w:szCs w:val="24"/>
          <w:lang w:eastAsia="pt-BR"/>
        </w:rPr>
        <w:lastRenderedPageBreak/>
        <w:drawing>
          <wp:inline distT="0" distB="0" distL="0" distR="0" wp14:anchorId="6D6AA57B" wp14:editId="2F5B5326">
            <wp:extent cx="5095875" cy="31097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87" cy="31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8C" w:rsidRPr="00D00709" w:rsidRDefault="00C02D8C" w:rsidP="00C02D8C">
      <w:pPr>
        <w:pStyle w:val="TextosemFormatao"/>
        <w:ind w:right="140"/>
        <w:jc w:val="center"/>
        <w:rPr>
          <w:rFonts w:ascii="Bookman Old Style" w:hAnsi="Bookman Old Style" w:cs="Arial"/>
          <w:b/>
        </w:rPr>
      </w:pPr>
    </w:p>
    <w:sectPr w:rsidR="00C02D8C" w:rsidRPr="00D00709" w:rsidSect="00C02D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134" w:bottom="1134" w:left="156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E5" w:rsidRDefault="006E72E5" w:rsidP="00EC5A5C">
      <w:pPr>
        <w:spacing w:after="0" w:line="240" w:lineRule="auto"/>
      </w:pPr>
      <w:r>
        <w:separator/>
      </w:r>
    </w:p>
  </w:endnote>
  <w:endnote w:type="continuationSeparator" w:id="0">
    <w:p w:rsidR="006E72E5" w:rsidRDefault="006E72E5" w:rsidP="00EC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NCaeciliaW01-45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304914"/>
      <w:docPartObj>
        <w:docPartGallery w:val="Page Numbers (Bottom of Page)"/>
        <w:docPartUnique/>
      </w:docPartObj>
    </w:sdtPr>
    <w:sdtEndPr/>
    <w:sdtContent>
      <w:p w:rsidR="00240E3F" w:rsidRDefault="00240E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633">
          <w:rPr>
            <w:noProof/>
          </w:rPr>
          <w:t>2</w:t>
        </w:r>
        <w:r>
          <w:fldChar w:fldCharType="end"/>
        </w:r>
      </w:p>
    </w:sdtContent>
  </w:sdt>
  <w:p w:rsidR="00240E3F" w:rsidRDefault="00240E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E5" w:rsidRDefault="006E72E5" w:rsidP="00EC5A5C">
      <w:pPr>
        <w:spacing w:after="0" w:line="240" w:lineRule="auto"/>
      </w:pPr>
      <w:r>
        <w:separator/>
      </w:r>
    </w:p>
  </w:footnote>
  <w:footnote w:type="continuationSeparator" w:id="0">
    <w:p w:rsidR="006E72E5" w:rsidRDefault="006E72E5" w:rsidP="00EC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C" w:rsidRDefault="00C406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44063" o:spid="_x0000_s2050" type="#_x0000_t75" style="position:absolute;margin-left:0;margin-top:0;width:534pt;height:763.9pt;z-index:-251657216;mso-position-horizontal:center;mso-position-horizontal-relative:margin;mso-position-vertical:center;mso-position-vertical-relative:margin" o:allowincell="f">
          <v:imagedata r:id="rId1" o:title="modelo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75" w:rsidRDefault="00C40633" w:rsidP="00240E3F">
    <w:pPr>
      <w:pStyle w:val="TextosemFormatao"/>
      <w:jc w:val="center"/>
      <w:rPr>
        <w:rFonts w:ascii="Bookman Old Style" w:hAnsi="Bookman Old Style" w:cs="Arial"/>
        <w:sz w:val="18"/>
      </w:rPr>
    </w:pPr>
    <w:r>
      <w:rPr>
        <w:noProof/>
        <w:sz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44064" o:spid="_x0000_s2051" type="#_x0000_t75" style="position:absolute;left:0;text-align:left;margin-left:-51.15pt;margin-top:-77.7pt;width:539.15pt;height:736.3pt;z-index:-251656192;mso-position-horizontal-relative:margin;mso-position-vertical-relative:margin" o:allowincell="f">
          <v:imagedata r:id="rId1" o:title="modelo papel timbrado"/>
          <w10:wrap anchorx="margin" anchory="margin"/>
        </v:shape>
      </w:pict>
    </w:r>
  </w:p>
  <w:p w:rsidR="00247575" w:rsidRDefault="00247575" w:rsidP="00240E3F">
    <w:pPr>
      <w:pStyle w:val="TextosemFormatao"/>
      <w:jc w:val="center"/>
      <w:rPr>
        <w:rFonts w:ascii="Bookman Old Style" w:hAnsi="Bookman Old Style" w:cs="Arial"/>
        <w:sz w:val="18"/>
      </w:rPr>
    </w:pPr>
  </w:p>
  <w:p w:rsidR="00240E3F" w:rsidRPr="00240E3F" w:rsidRDefault="00247575" w:rsidP="00240E3F">
    <w:pPr>
      <w:pStyle w:val="TextosemFormatao"/>
      <w:jc w:val="center"/>
      <w:rPr>
        <w:rFonts w:ascii="Bookman Old Style" w:hAnsi="Bookman Old Style" w:cs="Arial"/>
        <w:sz w:val="18"/>
      </w:rPr>
    </w:pPr>
    <w:r>
      <w:rPr>
        <w:rFonts w:ascii="Bookman Old Style" w:hAnsi="Bookman Old Style" w:cs="Arial"/>
        <w:sz w:val="18"/>
      </w:rPr>
      <w:br/>
    </w:r>
    <w:r w:rsidR="00240E3F" w:rsidRPr="00240E3F">
      <w:rPr>
        <w:rFonts w:ascii="Bookman Old Style" w:hAnsi="Bookman Old Style" w:cs="Arial"/>
        <w:sz w:val="18"/>
      </w:rPr>
      <w:t>CÂMARA DOS DEPUTADOS</w:t>
    </w:r>
  </w:p>
  <w:p w:rsidR="00240E3F" w:rsidRPr="00240E3F" w:rsidRDefault="00240E3F" w:rsidP="00240E3F">
    <w:pPr>
      <w:pStyle w:val="TextosemFormatao"/>
      <w:jc w:val="center"/>
      <w:rPr>
        <w:rFonts w:ascii="Bookman Old Style" w:hAnsi="Bookman Old Style" w:cs="Arial"/>
        <w:b/>
        <w:sz w:val="20"/>
      </w:rPr>
    </w:pPr>
    <w:r w:rsidRPr="00240E3F">
      <w:rPr>
        <w:rFonts w:ascii="Bookman Old Style" w:hAnsi="Bookman Old Style" w:cs="Arial"/>
        <w:b/>
        <w:sz w:val="18"/>
      </w:rPr>
      <w:t>LIDERANÇA DO PARTIDO DOS TRABALHADORES</w:t>
    </w:r>
  </w:p>
  <w:p w:rsidR="00EC5A5C" w:rsidRPr="00240E3F" w:rsidRDefault="00240E3F" w:rsidP="00240E3F">
    <w:pPr>
      <w:pStyle w:val="Cabealho"/>
      <w:jc w:val="center"/>
      <w:rPr>
        <w:rFonts w:ascii="Bookman Old Style" w:hAnsi="Bookman Old Style" w:cs="Arial"/>
        <w:b/>
        <w:sz w:val="18"/>
      </w:rPr>
    </w:pPr>
    <w:r w:rsidRPr="00240E3F">
      <w:rPr>
        <w:rFonts w:ascii="Bookman Old Style" w:hAnsi="Bookman Old Style" w:cs="Arial"/>
        <w:b/>
        <w:sz w:val="18"/>
      </w:rPr>
      <w:t>Assessoria Técnica</w:t>
    </w:r>
  </w:p>
  <w:p w:rsidR="00240E3F" w:rsidRPr="00240E3F" w:rsidRDefault="00240E3F" w:rsidP="00240E3F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C" w:rsidRDefault="00C406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44062" o:spid="_x0000_s2049" type="#_x0000_t75" style="position:absolute;margin-left:0;margin-top:0;width:534pt;height:763.9pt;z-index:-251658240;mso-position-horizontal:center;mso-position-horizontal-relative:margin;mso-position-vertical:center;mso-position-vertical-relative:margin" o:allowincell="f">
          <v:imagedata r:id="rId1" o:title="modelo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7E4"/>
    <w:multiLevelType w:val="hybridMultilevel"/>
    <w:tmpl w:val="97541E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301D8"/>
    <w:multiLevelType w:val="hybridMultilevel"/>
    <w:tmpl w:val="B28AC9FC"/>
    <w:lvl w:ilvl="0" w:tplc="2EF83C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0"/>
    <w:rsid w:val="00010209"/>
    <w:rsid w:val="000E0B2D"/>
    <w:rsid w:val="0013110A"/>
    <w:rsid w:val="00240E3F"/>
    <w:rsid w:val="002467E1"/>
    <w:rsid w:val="00247575"/>
    <w:rsid w:val="002F3B9B"/>
    <w:rsid w:val="00317182"/>
    <w:rsid w:val="0032397B"/>
    <w:rsid w:val="003C4DAA"/>
    <w:rsid w:val="00444FFB"/>
    <w:rsid w:val="005116FB"/>
    <w:rsid w:val="005D36A8"/>
    <w:rsid w:val="0067248E"/>
    <w:rsid w:val="006E72E5"/>
    <w:rsid w:val="006F34EF"/>
    <w:rsid w:val="00822DE2"/>
    <w:rsid w:val="008F0DAE"/>
    <w:rsid w:val="00951775"/>
    <w:rsid w:val="00953711"/>
    <w:rsid w:val="00A54A34"/>
    <w:rsid w:val="00A56DB7"/>
    <w:rsid w:val="00A72E5D"/>
    <w:rsid w:val="00B865DC"/>
    <w:rsid w:val="00BE57AC"/>
    <w:rsid w:val="00C02D8C"/>
    <w:rsid w:val="00C40633"/>
    <w:rsid w:val="00C75882"/>
    <w:rsid w:val="00D00709"/>
    <w:rsid w:val="00E70FB4"/>
    <w:rsid w:val="00E829A0"/>
    <w:rsid w:val="00EC5A5C"/>
    <w:rsid w:val="00EC6B61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0C01EB-452E-416A-AE9E-E3BCA00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829A0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829A0"/>
    <w:rPr>
      <w:rFonts w:ascii="Arial" w:eastAsia="Times New Roman" w:hAnsi="Arial" w:cs="Times New Roman"/>
      <w:sz w:val="24"/>
      <w:szCs w:val="21"/>
    </w:rPr>
  </w:style>
  <w:style w:type="character" w:customStyle="1" w:styleId="apple-converted-space">
    <w:name w:val="apple-converted-space"/>
    <w:basedOn w:val="Fontepargpadro"/>
    <w:rsid w:val="00E829A0"/>
  </w:style>
  <w:style w:type="paragraph" w:styleId="Corpodetexto">
    <w:name w:val="Body Text"/>
    <w:basedOn w:val="Normal"/>
    <w:link w:val="CorpodetextoChar"/>
    <w:semiHidden/>
    <w:rsid w:val="0067248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7248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24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711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A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B520-9AA0-4F34-B1E5-E433403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Vinhaes Bello Dultra</dc:creator>
  <cp:keywords/>
  <dc:description/>
  <cp:lastModifiedBy>Daisy Aparecida Barretta</cp:lastModifiedBy>
  <cp:revision>2</cp:revision>
  <cp:lastPrinted>2017-08-23T16:25:00Z</cp:lastPrinted>
  <dcterms:created xsi:type="dcterms:W3CDTF">2017-08-30T20:10:00Z</dcterms:created>
  <dcterms:modified xsi:type="dcterms:W3CDTF">2017-08-30T20:10:00Z</dcterms:modified>
</cp:coreProperties>
</file>