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65" w:rsidRPr="00CC610A" w:rsidRDefault="00EA3F65" w:rsidP="00EA3F65">
      <w:pPr>
        <w:shd w:val="clear" w:color="auto" w:fill="FFFFFF"/>
        <w:spacing w:after="0" w:line="240" w:lineRule="auto"/>
        <w:rPr>
          <w:rFonts w:ascii="PMNCaeciliaW01-45Light" w:eastAsia="Times New Roman" w:hAnsi="PMNCaeciliaW01-45Light" w:cs="Arial"/>
          <w:color w:val="555555"/>
          <w:sz w:val="21"/>
          <w:szCs w:val="21"/>
          <w:lang w:eastAsia="pt-BR"/>
        </w:rPr>
      </w:pPr>
      <w:bookmarkStart w:id="0" w:name="_GoBack"/>
      <w:bookmarkEnd w:id="0"/>
    </w:p>
    <w:p w:rsidR="00EA3F65" w:rsidRPr="008B21DA" w:rsidRDefault="00EA3F65" w:rsidP="00EA3F65">
      <w:pPr>
        <w:pStyle w:val="PargrafodaLista"/>
        <w:ind w:left="2844" w:firstLine="696"/>
        <w:rPr>
          <w:rFonts w:ascii="Times New Roman" w:eastAsia="Times New Roman" w:hAnsi="Times New Roman"/>
          <w:b/>
          <w:color w:val="555555"/>
          <w:sz w:val="28"/>
          <w:szCs w:val="28"/>
          <w:lang w:eastAsia="pt-BR"/>
        </w:rPr>
      </w:pPr>
      <w:r>
        <w:rPr>
          <w:rFonts w:ascii="Times New Roman" w:eastAsia="Times New Roman" w:hAnsi="Times New Roman"/>
          <w:b/>
          <w:color w:val="555555"/>
          <w:sz w:val="28"/>
          <w:szCs w:val="28"/>
          <w:lang w:eastAsia="pt-BR"/>
        </w:rPr>
        <w:t>SETOR ELÉ</w:t>
      </w:r>
      <w:r w:rsidRPr="008B21DA">
        <w:rPr>
          <w:rFonts w:ascii="Times New Roman" w:eastAsia="Times New Roman" w:hAnsi="Times New Roman"/>
          <w:b/>
          <w:color w:val="555555"/>
          <w:sz w:val="28"/>
          <w:szCs w:val="28"/>
          <w:lang w:eastAsia="pt-BR"/>
        </w:rPr>
        <w:t>TRICO</w:t>
      </w:r>
    </w:p>
    <w:p w:rsidR="00EA3F65" w:rsidRPr="008B21DA" w:rsidRDefault="00EA3F65" w:rsidP="00EA3F65">
      <w:pPr>
        <w:rPr>
          <w:rFonts w:ascii="Times New Roman" w:eastAsia="Times New Roman" w:hAnsi="Times New Roman"/>
          <w:b/>
          <w:color w:val="555555"/>
          <w:sz w:val="28"/>
          <w:szCs w:val="28"/>
          <w:lang w:eastAsia="pt-BR"/>
        </w:rPr>
      </w:pPr>
      <w:r w:rsidRPr="008B21DA">
        <w:rPr>
          <w:rFonts w:ascii="Times New Roman" w:eastAsia="Times New Roman" w:hAnsi="Times New Roman"/>
          <w:b/>
          <w:color w:val="555555"/>
          <w:sz w:val="28"/>
          <w:szCs w:val="28"/>
          <w:lang w:eastAsia="pt-BR"/>
        </w:rPr>
        <w:t xml:space="preserve">               </w:t>
      </w:r>
      <w:r>
        <w:rPr>
          <w:rFonts w:ascii="Times New Roman" w:eastAsia="Times New Roman" w:hAnsi="Times New Roman"/>
          <w:b/>
          <w:color w:val="555555"/>
          <w:sz w:val="28"/>
          <w:szCs w:val="28"/>
          <w:lang w:eastAsia="pt-BR"/>
        </w:rPr>
        <w:t xml:space="preserve">            </w:t>
      </w:r>
      <w:r w:rsidRPr="008B21DA">
        <w:rPr>
          <w:rFonts w:ascii="Times New Roman" w:eastAsia="Times New Roman" w:hAnsi="Times New Roman"/>
          <w:b/>
          <w:color w:val="555555"/>
          <w:sz w:val="28"/>
          <w:szCs w:val="28"/>
          <w:lang w:eastAsia="pt-BR"/>
        </w:rPr>
        <w:t xml:space="preserve">  PRIVATIZAÇÃO E DESNACIONALIZAÇÂO</w:t>
      </w:r>
    </w:p>
    <w:p w:rsidR="00EA3F65" w:rsidRPr="008B21DA" w:rsidRDefault="00EA3F65" w:rsidP="00EA3F65">
      <w:pPr>
        <w:shd w:val="clear" w:color="auto" w:fill="FFFFFF"/>
        <w:spacing w:after="0" w:line="240" w:lineRule="auto"/>
        <w:rPr>
          <w:rFonts w:ascii="Times New Roman" w:eastAsia="Times New Roman" w:hAnsi="Times New Roman"/>
          <w:b/>
          <w:color w:val="555555"/>
          <w:sz w:val="24"/>
          <w:szCs w:val="24"/>
          <w:lang w:eastAsia="pt-BR"/>
        </w:rPr>
      </w:pPr>
    </w:p>
    <w:p w:rsidR="00EA3F65" w:rsidRPr="009E7C50" w:rsidRDefault="00EA3F65" w:rsidP="00EA3F65">
      <w:pPr>
        <w:shd w:val="clear" w:color="auto" w:fill="FFFFFF"/>
        <w:spacing w:after="0" w:line="240" w:lineRule="auto"/>
        <w:rPr>
          <w:rFonts w:ascii="PMNCaeciliaW01-45Light" w:eastAsia="Times New Roman" w:hAnsi="PMNCaeciliaW01-45Light" w:cs="Arial"/>
          <w:color w:val="555555"/>
          <w:sz w:val="21"/>
          <w:szCs w:val="21"/>
          <w:lang w:eastAsia="pt-BR"/>
        </w:rPr>
      </w:pPr>
    </w:p>
    <w:p w:rsidR="00EA3F65" w:rsidRDefault="00EA3F65" w:rsidP="00EA3F65">
      <w:pPr>
        <w:pStyle w:val="PargrafodaLista"/>
        <w:rPr>
          <w:rFonts w:ascii="Times New Roman" w:eastAsia="Times New Roman" w:hAnsi="Times New Roman"/>
          <w:b/>
          <w:color w:val="555555"/>
          <w:sz w:val="24"/>
          <w:szCs w:val="24"/>
          <w:lang w:eastAsia="pt-BR"/>
        </w:rPr>
      </w:pPr>
    </w:p>
    <w:p w:rsidR="00EA3F65" w:rsidRPr="002055AF" w:rsidRDefault="00EA3F65" w:rsidP="00EA3F65">
      <w:pPr>
        <w:pStyle w:val="PargrafodaLista"/>
        <w:ind w:firstLine="840"/>
        <w:jc w:val="both"/>
        <w:rPr>
          <w:rFonts w:ascii="Times New Roman" w:eastAsia="Times New Roman" w:hAnsi="Times New Roman"/>
          <w:color w:val="555555"/>
          <w:sz w:val="24"/>
          <w:szCs w:val="24"/>
          <w:lang w:eastAsia="pt-BR"/>
        </w:rPr>
      </w:pPr>
      <w:r w:rsidRPr="003C4953">
        <w:rPr>
          <w:rFonts w:ascii="Times New Roman" w:eastAsia="Times New Roman" w:hAnsi="Times New Roman"/>
          <w:color w:val="555555"/>
          <w:sz w:val="24"/>
          <w:szCs w:val="24"/>
          <w:lang w:eastAsia="pt-BR"/>
        </w:rPr>
        <w:t>A Eletrobrás é o maior grupo do setor elétrico brasileiro: possui 31% da capacidade de geração, 47% das linhas de transmissão e 5,1% do fornecimento ao mercado consumidor no país.</w:t>
      </w:r>
    </w:p>
    <w:p w:rsidR="00EA3F65" w:rsidRPr="002055AF"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A23A14" w:rsidRDefault="00EA3F65" w:rsidP="00EA3F65">
      <w:pPr>
        <w:pStyle w:val="PargrafodaLista"/>
        <w:ind w:firstLine="840"/>
        <w:jc w:val="both"/>
        <w:rPr>
          <w:rFonts w:ascii="Times New Roman" w:eastAsia="Times New Roman" w:hAnsi="Times New Roman"/>
          <w:color w:val="555555"/>
          <w:sz w:val="24"/>
          <w:szCs w:val="24"/>
          <w:lang w:eastAsia="pt-BR"/>
        </w:rPr>
      </w:pPr>
      <w:r w:rsidRPr="00A23A14">
        <w:rPr>
          <w:rFonts w:ascii="Times New Roman" w:eastAsia="Times New Roman" w:hAnsi="Times New Roman"/>
          <w:color w:val="555555"/>
          <w:sz w:val="24"/>
          <w:szCs w:val="24"/>
          <w:lang w:eastAsia="pt-BR"/>
        </w:rPr>
        <w:t>No entanto</w:t>
      </w:r>
      <w:r>
        <w:rPr>
          <w:rFonts w:ascii="Times New Roman" w:eastAsia="Times New Roman" w:hAnsi="Times New Roman"/>
          <w:color w:val="555555"/>
          <w:sz w:val="24"/>
          <w:szCs w:val="24"/>
          <w:lang w:eastAsia="pt-BR"/>
        </w:rPr>
        <w:t>, o</w:t>
      </w:r>
      <w:r w:rsidRPr="00A23A14">
        <w:rPr>
          <w:rFonts w:ascii="Times New Roman" w:eastAsia="Times New Roman" w:hAnsi="Times New Roman"/>
          <w:color w:val="555555"/>
          <w:sz w:val="24"/>
          <w:szCs w:val="24"/>
          <w:lang w:eastAsia="pt-BR"/>
        </w:rPr>
        <w:t xml:space="preserve"> Plano</w:t>
      </w:r>
      <w:r>
        <w:rPr>
          <w:rFonts w:ascii="Times New Roman" w:eastAsia="Times New Roman" w:hAnsi="Times New Roman"/>
          <w:color w:val="555555"/>
          <w:sz w:val="24"/>
          <w:szCs w:val="24"/>
          <w:lang w:eastAsia="pt-BR"/>
        </w:rPr>
        <w:t xml:space="preserve"> Diretor de Negócios e Gestão (</w:t>
      </w:r>
      <w:r w:rsidRPr="00A23A14">
        <w:rPr>
          <w:rFonts w:ascii="Times New Roman" w:eastAsia="Times New Roman" w:hAnsi="Times New Roman"/>
          <w:color w:val="555555"/>
          <w:sz w:val="24"/>
          <w:szCs w:val="24"/>
          <w:lang w:eastAsia="pt-BR"/>
        </w:rPr>
        <w:t>PDNG</w:t>
      </w:r>
      <w:r>
        <w:rPr>
          <w:rFonts w:ascii="Times New Roman" w:eastAsia="Times New Roman" w:hAnsi="Times New Roman"/>
          <w:color w:val="555555"/>
          <w:sz w:val="24"/>
          <w:szCs w:val="24"/>
          <w:lang w:eastAsia="pt-BR"/>
        </w:rPr>
        <w:t>)</w:t>
      </w:r>
      <w:r w:rsidRPr="00A23A14">
        <w:rPr>
          <w:rFonts w:ascii="Times New Roman" w:eastAsia="Times New Roman" w:hAnsi="Times New Roman"/>
          <w:color w:val="555555"/>
          <w:sz w:val="24"/>
          <w:szCs w:val="24"/>
          <w:lang w:eastAsia="pt-BR"/>
        </w:rPr>
        <w:t xml:space="preserve"> da ELETROBRAS 2017-2021 tem enfoque em forte reestruturação empresarial sob a ótica de mercado, com ênfase na venda de ativos e na redução de custos de pessoal, como ocorre em diversas empresas privadas do setor elétrico, o que poderá reduzir significativamente a participação da Eletrobrás na matriz elétrica nacional</w:t>
      </w:r>
    </w:p>
    <w:p w:rsidR="00EA3F65" w:rsidRPr="00A23A14" w:rsidRDefault="00EA3F65" w:rsidP="00EA3F65">
      <w:pPr>
        <w:pStyle w:val="PargrafodaLista"/>
        <w:rPr>
          <w:rFonts w:ascii="Times New Roman" w:eastAsia="Times New Roman" w:hAnsi="Times New Roman"/>
          <w:color w:val="555555"/>
          <w:sz w:val="24"/>
          <w:szCs w:val="24"/>
          <w:lang w:eastAsia="pt-BR"/>
        </w:rPr>
      </w:pPr>
    </w:p>
    <w:p w:rsidR="00EA3F65" w:rsidRPr="00A23A14" w:rsidRDefault="00EA3F65" w:rsidP="00EA3F65">
      <w:pPr>
        <w:pStyle w:val="PargrafodaLista"/>
        <w:ind w:firstLine="840"/>
        <w:jc w:val="both"/>
        <w:rPr>
          <w:rFonts w:ascii="Times New Roman" w:eastAsia="Times New Roman" w:hAnsi="Times New Roman"/>
          <w:color w:val="555555"/>
          <w:sz w:val="24"/>
          <w:szCs w:val="24"/>
          <w:lang w:eastAsia="pt-BR"/>
        </w:rPr>
      </w:pPr>
      <w:r w:rsidRPr="00A23A14">
        <w:rPr>
          <w:rFonts w:ascii="Times New Roman" w:eastAsia="Times New Roman" w:hAnsi="Times New Roman"/>
          <w:color w:val="555555"/>
          <w:sz w:val="24"/>
          <w:szCs w:val="24"/>
          <w:lang w:eastAsia="pt-BR"/>
        </w:rPr>
        <w:t>Podemos destacar pelo menos três características da atual estru</w:t>
      </w:r>
      <w:r>
        <w:rPr>
          <w:rFonts w:ascii="Times New Roman" w:eastAsia="Times New Roman" w:hAnsi="Times New Roman"/>
          <w:color w:val="555555"/>
          <w:sz w:val="24"/>
          <w:szCs w:val="24"/>
          <w:lang w:eastAsia="pt-BR"/>
        </w:rPr>
        <w:t>tura do setor elétrico nacional:</w:t>
      </w:r>
      <w:r w:rsidRPr="00A23A14">
        <w:rPr>
          <w:rFonts w:ascii="Times New Roman" w:eastAsia="Times New Roman" w:hAnsi="Times New Roman"/>
          <w:color w:val="555555"/>
          <w:sz w:val="24"/>
          <w:szCs w:val="24"/>
          <w:lang w:eastAsia="pt-BR"/>
        </w:rPr>
        <w:t xml:space="preserve"> </w:t>
      </w:r>
    </w:p>
    <w:p w:rsidR="00EA3F65" w:rsidRPr="00404851"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404851">
        <w:rPr>
          <w:rFonts w:ascii="Times New Roman" w:eastAsia="Times New Roman" w:hAnsi="Times New Roman"/>
          <w:color w:val="555555"/>
          <w:sz w:val="24"/>
          <w:szCs w:val="24"/>
          <w:lang w:eastAsia="pt-BR"/>
        </w:rPr>
        <w:t>Os setores de geração e transmissão aind</w:t>
      </w:r>
      <w:r>
        <w:rPr>
          <w:rFonts w:ascii="Times New Roman" w:eastAsia="Times New Roman" w:hAnsi="Times New Roman"/>
          <w:color w:val="555555"/>
          <w:sz w:val="24"/>
          <w:szCs w:val="24"/>
          <w:lang w:eastAsia="pt-BR"/>
        </w:rPr>
        <w:t>a são majoritariamente estatais</w:t>
      </w:r>
      <w:r w:rsidRPr="00404851">
        <w:rPr>
          <w:rFonts w:ascii="Times New Roman" w:eastAsia="Times New Roman" w:hAnsi="Times New Roman"/>
          <w:color w:val="555555"/>
          <w:sz w:val="24"/>
          <w:szCs w:val="24"/>
          <w:lang w:eastAsia="pt-BR"/>
        </w:rPr>
        <w:t>;</w:t>
      </w:r>
    </w:p>
    <w:p w:rsidR="00EA3F65" w:rsidRPr="00A23A14"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A23A14">
        <w:rPr>
          <w:rFonts w:ascii="Times New Roman" w:eastAsia="Times New Roman" w:hAnsi="Times New Roman"/>
          <w:color w:val="555555"/>
          <w:sz w:val="24"/>
          <w:szCs w:val="24"/>
          <w:lang w:eastAsia="pt-BR"/>
        </w:rPr>
        <w:t>Há forte presença de empresas estrangeiras, sejam elas privadas ou mesmo estatais;</w:t>
      </w:r>
    </w:p>
    <w:p w:rsidR="00EA3F65" w:rsidRPr="003C4953" w:rsidRDefault="00EA3F65" w:rsidP="00EA3F65">
      <w:pPr>
        <w:pStyle w:val="PargrafodaLista"/>
        <w:numPr>
          <w:ilvl w:val="0"/>
          <w:numId w:val="3"/>
        </w:numPr>
        <w:jc w:val="both"/>
        <w:rPr>
          <w:rFonts w:ascii="Times New Roman" w:eastAsia="Times New Roman" w:hAnsi="Times New Roman"/>
          <w:b/>
          <w:color w:val="555555"/>
          <w:sz w:val="24"/>
          <w:szCs w:val="24"/>
          <w:lang w:eastAsia="pt-BR"/>
        </w:rPr>
      </w:pPr>
      <w:r w:rsidRPr="003C4953">
        <w:rPr>
          <w:rFonts w:ascii="Times New Roman" w:eastAsia="Times New Roman" w:hAnsi="Times New Roman"/>
          <w:color w:val="555555"/>
          <w:sz w:val="24"/>
          <w:szCs w:val="24"/>
          <w:lang w:eastAsia="pt-BR"/>
        </w:rPr>
        <w:t>O grau de concentração de mercado na geração ainda pode ser considerado baixo, uma vez que as maiores empresas privadas detêm pequeno percentual do mercado total</w:t>
      </w:r>
      <w:r w:rsidRPr="003C4953">
        <w:rPr>
          <w:rFonts w:ascii="Times New Roman" w:eastAsia="Times New Roman" w:hAnsi="Times New Roman"/>
          <w:b/>
          <w:color w:val="555555"/>
          <w:sz w:val="24"/>
          <w:szCs w:val="24"/>
          <w:lang w:eastAsia="pt-BR"/>
        </w:rPr>
        <w:t>.</w:t>
      </w:r>
    </w:p>
    <w:p w:rsidR="00EA3F65" w:rsidRDefault="00EA3F65" w:rsidP="00EA3F65">
      <w:pPr>
        <w:pStyle w:val="PargrafodaLista"/>
        <w:rPr>
          <w:rFonts w:ascii="Times New Roman" w:eastAsia="Times New Roman" w:hAnsi="Times New Roman"/>
          <w:b/>
          <w:color w:val="555555"/>
          <w:sz w:val="24"/>
          <w:szCs w:val="24"/>
          <w:lang w:eastAsia="pt-BR"/>
        </w:rPr>
      </w:pPr>
    </w:p>
    <w:p w:rsidR="00EA3F65" w:rsidRDefault="00EA3F65" w:rsidP="00EA3F65">
      <w:pPr>
        <w:pStyle w:val="PargrafodaLista"/>
        <w:rPr>
          <w:rFonts w:ascii="Times New Roman" w:eastAsia="Times New Roman" w:hAnsi="Times New Roman"/>
          <w:b/>
          <w:color w:val="555555"/>
          <w:sz w:val="24"/>
          <w:szCs w:val="24"/>
          <w:lang w:eastAsia="pt-BR"/>
        </w:rPr>
      </w:pPr>
    </w:p>
    <w:p w:rsidR="00EA3F65" w:rsidRDefault="00EA3F65" w:rsidP="00EA3F65">
      <w:pPr>
        <w:pStyle w:val="PargrafodaLista"/>
        <w:keepNext/>
        <w:jc w:val="center"/>
      </w:pPr>
      <w:r>
        <w:rPr>
          <w:noProof/>
          <w:lang w:eastAsia="pt-BR"/>
        </w:rPr>
        <w:drawing>
          <wp:inline distT="0" distB="0" distL="0" distR="0" wp14:anchorId="39D88A6E" wp14:editId="43437614">
            <wp:extent cx="4413500" cy="2800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3021" cy="2819081"/>
                    </a:xfrm>
                    <a:prstGeom prst="rect">
                      <a:avLst/>
                    </a:prstGeom>
                    <a:noFill/>
                  </pic:spPr>
                </pic:pic>
              </a:graphicData>
            </a:graphic>
          </wp:inline>
        </w:drawing>
      </w:r>
    </w:p>
    <w:p w:rsidR="00EA3F65" w:rsidRPr="008A39BE" w:rsidRDefault="00EA3F65" w:rsidP="00EA3F65">
      <w:pPr>
        <w:pStyle w:val="Legenda"/>
        <w:jc w:val="center"/>
        <w:rPr>
          <w:rFonts w:ascii="Times New Roman" w:eastAsia="Times New Roman" w:hAnsi="Times New Roman" w:cs="Times New Roman"/>
          <w:b/>
          <w:color w:val="auto"/>
          <w:sz w:val="24"/>
          <w:szCs w:val="24"/>
          <w:lang w:eastAsia="pt-BR"/>
        </w:rPr>
      </w:pPr>
      <w:r w:rsidRPr="008A39BE">
        <w:rPr>
          <w:color w:val="auto"/>
        </w:rPr>
        <w:t xml:space="preserve">Figura </w:t>
      </w:r>
      <w:r w:rsidRPr="008A39BE">
        <w:rPr>
          <w:color w:val="auto"/>
        </w:rPr>
        <w:fldChar w:fldCharType="begin"/>
      </w:r>
      <w:r w:rsidRPr="008A39BE">
        <w:rPr>
          <w:color w:val="auto"/>
        </w:rPr>
        <w:instrText xml:space="preserve"> SEQ Figura \* ARABIC </w:instrText>
      </w:r>
      <w:r w:rsidRPr="008A39BE">
        <w:rPr>
          <w:color w:val="auto"/>
        </w:rPr>
        <w:fldChar w:fldCharType="separate"/>
      </w:r>
      <w:r>
        <w:rPr>
          <w:noProof/>
          <w:color w:val="auto"/>
        </w:rPr>
        <w:t>1</w:t>
      </w:r>
      <w:r w:rsidRPr="008A39BE">
        <w:rPr>
          <w:color w:val="auto"/>
        </w:rPr>
        <w:fldChar w:fldCharType="end"/>
      </w:r>
      <w:r w:rsidRPr="008A39BE">
        <w:rPr>
          <w:color w:val="auto"/>
        </w:rPr>
        <w:t xml:space="preserve">- </w:t>
      </w:r>
      <w:r>
        <w:rPr>
          <w:color w:val="auto"/>
        </w:rPr>
        <w:t>Linha do tempo dos principais eventos do setor elétrico</w:t>
      </w:r>
    </w:p>
    <w:p w:rsidR="00EA3F65" w:rsidRDefault="00EA3F65" w:rsidP="00EA3F65">
      <w:pPr>
        <w:pStyle w:val="PargrafodaLista"/>
        <w:rPr>
          <w:rFonts w:ascii="Times New Roman" w:eastAsia="Times New Roman" w:hAnsi="Times New Roman"/>
          <w:b/>
          <w:color w:val="555555"/>
          <w:sz w:val="24"/>
          <w:szCs w:val="24"/>
          <w:lang w:eastAsia="pt-BR"/>
        </w:rPr>
      </w:pPr>
    </w:p>
    <w:p w:rsidR="00EA3F65" w:rsidRPr="00A23A14" w:rsidRDefault="00EA3F65" w:rsidP="00EA3F65">
      <w:pPr>
        <w:pStyle w:val="PargrafodaLista"/>
        <w:rPr>
          <w:rFonts w:ascii="Times New Roman" w:eastAsia="Times New Roman" w:hAnsi="Times New Roman"/>
          <w:b/>
          <w:color w:val="555555"/>
          <w:sz w:val="24"/>
          <w:szCs w:val="24"/>
          <w:lang w:eastAsia="pt-BR"/>
        </w:rPr>
      </w:pPr>
    </w:p>
    <w:p w:rsidR="00EA3F65" w:rsidRPr="008B21DA" w:rsidRDefault="00EA3F65" w:rsidP="00EA3F65">
      <w:pPr>
        <w:pStyle w:val="PargrafodaLista"/>
        <w:rPr>
          <w:rFonts w:ascii="Times New Roman" w:eastAsia="Times New Roman" w:hAnsi="Times New Roman"/>
          <w:b/>
          <w:color w:val="555555"/>
          <w:sz w:val="28"/>
          <w:szCs w:val="28"/>
          <w:lang w:eastAsia="pt-BR"/>
        </w:rPr>
      </w:pPr>
      <w:r w:rsidRPr="008B21DA">
        <w:rPr>
          <w:rFonts w:ascii="Times New Roman" w:eastAsia="Times New Roman" w:hAnsi="Times New Roman"/>
          <w:b/>
          <w:color w:val="555555"/>
          <w:sz w:val="28"/>
          <w:szCs w:val="28"/>
          <w:lang w:eastAsia="pt-BR"/>
        </w:rPr>
        <w:t>MARCO LEGAL</w:t>
      </w:r>
    </w:p>
    <w:p w:rsidR="00EA3F65" w:rsidRPr="004125E3" w:rsidRDefault="00EA3F65" w:rsidP="00EA3F65">
      <w:pPr>
        <w:pStyle w:val="PargrafodaLista"/>
        <w:rPr>
          <w:rFonts w:ascii="Times New Roman" w:eastAsia="Times New Roman" w:hAnsi="Times New Roman"/>
          <w:b/>
          <w:color w:val="555555"/>
          <w:sz w:val="24"/>
          <w:szCs w:val="24"/>
          <w:lang w:eastAsia="pt-BR"/>
        </w:rPr>
      </w:pPr>
    </w:p>
    <w:p w:rsidR="00EA3F65" w:rsidRPr="008B21DA" w:rsidRDefault="00EA3F65" w:rsidP="00EA3F65">
      <w:pPr>
        <w:pStyle w:val="PargrafodaLista"/>
        <w:numPr>
          <w:ilvl w:val="0"/>
          <w:numId w:val="5"/>
        </w:numPr>
        <w:rPr>
          <w:rFonts w:ascii="Times New Roman" w:eastAsia="Times New Roman" w:hAnsi="Times New Roman"/>
          <w:b/>
          <w:color w:val="555555"/>
          <w:sz w:val="24"/>
          <w:szCs w:val="24"/>
          <w:lang w:eastAsia="pt-BR"/>
        </w:rPr>
      </w:pPr>
      <w:r w:rsidRPr="008B21DA">
        <w:rPr>
          <w:rFonts w:ascii="Times New Roman" w:eastAsia="Times New Roman" w:hAnsi="Times New Roman"/>
          <w:b/>
          <w:color w:val="555555"/>
          <w:sz w:val="24"/>
          <w:szCs w:val="24"/>
          <w:lang w:eastAsia="pt-BR"/>
        </w:rPr>
        <w:t>Novo Modelo – Modicidade tarifária e Universalização</w:t>
      </w:r>
    </w:p>
    <w:p w:rsidR="00EA3F65" w:rsidRPr="00EC4E14" w:rsidRDefault="00EA3F65" w:rsidP="00EA3F65">
      <w:pPr>
        <w:pStyle w:val="PargrafodaLista"/>
        <w:rPr>
          <w:rFonts w:ascii="Times New Roman" w:eastAsia="Times New Roman" w:hAnsi="Times New Roman"/>
          <w:color w:val="555555"/>
          <w:sz w:val="24"/>
          <w:szCs w:val="24"/>
          <w:lang w:eastAsia="pt-BR"/>
        </w:rPr>
      </w:pPr>
    </w:p>
    <w:p w:rsidR="00EA3F65" w:rsidRPr="004125E3" w:rsidRDefault="00EA3F65" w:rsidP="00EA3F65">
      <w:pPr>
        <w:pStyle w:val="PargrafodaLista"/>
        <w:ind w:firstLine="840"/>
        <w:jc w:val="both"/>
        <w:rPr>
          <w:rFonts w:ascii="Times New Roman" w:eastAsia="Times New Roman" w:hAnsi="Times New Roman"/>
          <w:color w:val="555555"/>
          <w:sz w:val="24"/>
          <w:szCs w:val="24"/>
          <w:lang w:eastAsia="pt-BR"/>
        </w:rPr>
      </w:pPr>
      <w:r w:rsidRPr="004125E3">
        <w:rPr>
          <w:rFonts w:ascii="Times New Roman" w:eastAsia="Times New Roman" w:hAnsi="Times New Roman"/>
          <w:color w:val="555555"/>
          <w:sz w:val="24"/>
          <w:szCs w:val="24"/>
          <w:lang w:eastAsia="pt-BR"/>
        </w:rPr>
        <w:t>O marco do setor elétrico, aprovado em 2004, no Governo Lula, através da</w:t>
      </w:r>
      <w:r w:rsidRPr="00457A5B">
        <w:rPr>
          <w:rFonts w:ascii="Times New Roman" w:eastAsia="Times New Roman" w:hAnsi="Times New Roman"/>
          <w:color w:val="555555"/>
          <w:sz w:val="24"/>
          <w:szCs w:val="24"/>
          <w:lang w:eastAsia="pt-BR"/>
        </w:rPr>
        <w:t xml:space="preserve"> Lei 10</w:t>
      </w:r>
      <w:r>
        <w:rPr>
          <w:rFonts w:ascii="Times New Roman" w:eastAsia="Times New Roman" w:hAnsi="Times New Roman"/>
          <w:color w:val="555555"/>
          <w:sz w:val="24"/>
          <w:szCs w:val="24"/>
          <w:lang w:eastAsia="pt-BR"/>
        </w:rPr>
        <w:t>.</w:t>
      </w:r>
      <w:r w:rsidRPr="00457A5B">
        <w:rPr>
          <w:rFonts w:ascii="Times New Roman" w:eastAsia="Times New Roman" w:hAnsi="Times New Roman"/>
          <w:color w:val="555555"/>
          <w:sz w:val="24"/>
          <w:szCs w:val="24"/>
          <w:lang w:eastAsia="pt-BR"/>
        </w:rPr>
        <w:t>848/2004</w:t>
      </w:r>
      <w:r w:rsidRPr="004125E3">
        <w:rPr>
          <w:rFonts w:ascii="Times New Roman" w:eastAsia="Times New Roman" w:hAnsi="Times New Roman"/>
          <w:color w:val="555555"/>
          <w:sz w:val="24"/>
          <w:szCs w:val="24"/>
          <w:lang w:eastAsia="pt-BR"/>
        </w:rPr>
        <w:t xml:space="preserve"> foi construído após um longo debate com os agentes setoriais e depois de um longo período de racionamento que, impactou o PIB negativamente em mais de 1%.</w:t>
      </w:r>
      <w:r>
        <w:rPr>
          <w:rFonts w:ascii="Times New Roman" w:eastAsia="Times New Roman" w:hAnsi="Times New Roman"/>
          <w:color w:val="555555"/>
          <w:sz w:val="24"/>
          <w:szCs w:val="24"/>
          <w:lang w:eastAsia="pt-BR"/>
        </w:rPr>
        <w:t xml:space="preserve"> As</w:t>
      </w:r>
      <w:r w:rsidRPr="004125E3">
        <w:rPr>
          <w:rFonts w:ascii="Times New Roman" w:eastAsia="Times New Roman" w:hAnsi="Times New Roman"/>
          <w:color w:val="555555"/>
          <w:sz w:val="24"/>
          <w:szCs w:val="24"/>
          <w:lang w:eastAsia="pt-BR"/>
        </w:rPr>
        <w:t xml:space="preserve"> principais características </w:t>
      </w:r>
      <w:r>
        <w:rPr>
          <w:rFonts w:ascii="Times New Roman" w:eastAsia="Times New Roman" w:hAnsi="Times New Roman"/>
          <w:color w:val="555555"/>
          <w:sz w:val="24"/>
          <w:szCs w:val="24"/>
          <w:lang w:eastAsia="pt-BR"/>
        </w:rPr>
        <w:t xml:space="preserve">do novo modelo </w:t>
      </w:r>
      <w:r w:rsidRPr="004125E3">
        <w:rPr>
          <w:rFonts w:ascii="Times New Roman" w:eastAsia="Times New Roman" w:hAnsi="Times New Roman"/>
          <w:color w:val="555555"/>
          <w:sz w:val="24"/>
          <w:szCs w:val="24"/>
          <w:lang w:eastAsia="pt-BR"/>
        </w:rPr>
        <w:t>são:</w:t>
      </w:r>
    </w:p>
    <w:p w:rsidR="00EA3F65" w:rsidRPr="004125E3" w:rsidRDefault="00EA3F65" w:rsidP="00EA3F65">
      <w:pPr>
        <w:pStyle w:val="PargrafodaLista"/>
        <w:ind w:left="1440"/>
        <w:rPr>
          <w:rFonts w:ascii="Times New Roman" w:eastAsia="Times New Roman" w:hAnsi="Times New Roman"/>
          <w:color w:val="555555"/>
          <w:sz w:val="24"/>
          <w:szCs w:val="24"/>
          <w:lang w:eastAsia="pt-BR"/>
        </w:rPr>
      </w:pPr>
    </w:p>
    <w:p w:rsidR="00EA3F65" w:rsidRPr="00FD34B7"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FD34B7">
        <w:rPr>
          <w:rFonts w:ascii="Times New Roman" w:eastAsia="Times New Roman" w:hAnsi="Times New Roman"/>
          <w:color w:val="555555"/>
          <w:sz w:val="24"/>
          <w:szCs w:val="24"/>
          <w:lang w:eastAsia="pt-BR"/>
        </w:rPr>
        <w:t>Adota o planejamento como pilar da nova política de expansão</w:t>
      </w:r>
      <w:r>
        <w:rPr>
          <w:rFonts w:ascii="Times New Roman" w:eastAsia="Times New Roman" w:hAnsi="Times New Roman"/>
          <w:color w:val="555555"/>
          <w:sz w:val="24"/>
          <w:szCs w:val="24"/>
          <w:lang w:eastAsia="pt-BR"/>
        </w:rPr>
        <w:t>, priorizando a segurança</w:t>
      </w:r>
      <w:r w:rsidRPr="00FD34B7">
        <w:rPr>
          <w:rFonts w:ascii="Times New Roman" w:eastAsia="Times New Roman" w:hAnsi="Times New Roman"/>
          <w:color w:val="555555"/>
          <w:sz w:val="24"/>
          <w:szCs w:val="24"/>
          <w:lang w:eastAsia="pt-BR"/>
        </w:rPr>
        <w:t xml:space="preserve"> de suprimento </w:t>
      </w:r>
      <w:r>
        <w:rPr>
          <w:rFonts w:ascii="Times New Roman" w:eastAsia="Times New Roman" w:hAnsi="Times New Roman"/>
          <w:color w:val="555555"/>
          <w:sz w:val="24"/>
          <w:szCs w:val="24"/>
          <w:lang w:eastAsia="pt-BR"/>
        </w:rPr>
        <w:t xml:space="preserve">de energia </w:t>
      </w:r>
      <w:r w:rsidRPr="00FD34B7">
        <w:rPr>
          <w:rFonts w:ascii="Times New Roman" w:eastAsia="Times New Roman" w:hAnsi="Times New Roman"/>
          <w:color w:val="555555"/>
          <w:sz w:val="24"/>
          <w:szCs w:val="24"/>
          <w:lang w:eastAsia="pt-BR"/>
        </w:rPr>
        <w:t>(CMSE, EPE);</w:t>
      </w:r>
    </w:p>
    <w:p w:rsidR="00EA3F65" w:rsidRPr="00404851"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 xml:space="preserve">Busca a </w:t>
      </w:r>
      <w:r w:rsidRPr="00404851">
        <w:rPr>
          <w:rFonts w:ascii="Times New Roman" w:eastAsia="Times New Roman" w:hAnsi="Times New Roman"/>
          <w:color w:val="555555"/>
          <w:sz w:val="24"/>
          <w:szCs w:val="24"/>
          <w:lang w:eastAsia="pt-BR"/>
        </w:rPr>
        <w:t>Modicidade Tarifária (competição: leilões de menor preço e separação entre energia nova – expansão – e energia existente – total ou parcialmente amortizada)</w:t>
      </w:r>
    </w:p>
    <w:p w:rsidR="00EA3F65"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404851">
        <w:rPr>
          <w:rFonts w:ascii="Times New Roman" w:eastAsia="Times New Roman" w:hAnsi="Times New Roman"/>
          <w:color w:val="555555"/>
          <w:sz w:val="24"/>
          <w:szCs w:val="24"/>
          <w:lang w:eastAsia="pt-BR"/>
        </w:rPr>
        <w:t>Estabelece um mercado regulado e outro livre para a comercialização de energia elétrica;</w:t>
      </w:r>
    </w:p>
    <w:p w:rsidR="00EA3F65"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4125E3">
        <w:rPr>
          <w:rFonts w:ascii="Times New Roman" w:eastAsia="Times New Roman" w:hAnsi="Times New Roman"/>
          <w:color w:val="555555"/>
          <w:sz w:val="24"/>
          <w:szCs w:val="24"/>
          <w:lang w:eastAsia="pt-BR"/>
        </w:rPr>
        <w:t>Define que as licitações serão de responsabilidade da Agência Nacional de Energia Elétrica (Aneel), embora o poder concedente seja do Executivo.</w:t>
      </w:r>
    </w:p>
    <w:p w:rsidR="00EA3F65" w:rsidRPr="004125E3"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4125E3">
        <w:rPr>
          <w:rFonts w:ascii="Times New Roman" w:eastAsia="Times New Roman" w:hAnsi="Times New Roman"/>
          <w:color w:val="555555"/>
          <w:sz w:val="24"/>
          <w:szCs w:val="24"/>
          <w:lang w:eastAsia="pt-BR"/>
        </w:rPr>
        <w:t xml:space="preserve">Determina que as empresas adotem a "desverticalização" </w:t>
      </w:r>
      <w:r>
        <w:rPr>
          <w:rFonts w:ascii="Times New Roman" w:eastAsia="Times New Roman" w:hAnsi="Times New Roman"/>
          <w:color w:val="555555"/>
          <w:sz w:val="24"/>
          <w:szCs w:val="24"/>
          <w:lang w:eastAsia="pt-BR"/>
        </w:rPr>
        <w:t xml:space="preserve">– </w:t>
      </w:r>
      <w:r w:rsidRPr="004125E3">
        <w:rPr>
          <w:rFonts w:ascii="Times New Roman" w:eastAsia="Times New Roman" w:hAnsi="Times New Roman"/>
          <w:color w:val="555555"/>
          <w:sz w:val="24"/>
          <w:szCs w:val="24"/>
          <w:lang w:eastAsia="pt-BR"/>
        </w:rPr>
        <w:t>isto é, separarem juridicamente as atividades de geração e dis</w:t>
      </w:r>
      <w:r>
        <w:rPr>
          <w:rFonts w:ascii="Times New Roman" w:eastAsia="Times New Roman" w:hAnsi="Times New Roman"/>
          <w:color w:val="555555"/>
          <w:sz w:val="24"/>
          <w:szCs w:val="24"/>
          <w:lang w:eastAsia="pt-BR"/>
        </w:rPr>
        <w:t>tribuição no prazo de 18 meses;</w:t>
      </w:r>
    </w:p>
    <w:p w:rsidR="00EA3F65" w:rsidRPr="004125E3"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4125E3">
        <w:rPr>
          <w:rFonts w:ascii="Times New Roman" w:eastAsia="Times New Roman" w:hAnsi="Times New Roman"/>
          <w:color w:val="555555"/>
          <w:sz w:val="24"/>
          <w:szCs w:val="24"/>
          <w:lang w:eastAsia="pt-BR"/>
        </w:rPr>
        <w:t>Cria a Câmara de Comercialização de Energia Elétrica (CCEE), que substituirá o Merc</w:t>
      </w:r>
      <w:r>
        <w:rPr>
          <w:rFonts w:ascii="Times New Roman" w:eastAsia="Times New Roman" w:hAnsi="Times New Roman"/>
          <w:color w:val="555555"/>
          <w:sz w:val="24"/>
          <w:szCs w:val="24"/>
          <w:lang w:eastAsia="pt-BR"/>
        </w:rPr>
        <w:t>ado Atacadista de Energia (MAE) e,</w:t>
      </w:r>
    </w:p>
    <w:p w:rsidR="00EA3F65"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4125E3">
        <w:rPr>
          <w:rFonts w:ascii="Times New Roman" w:eastAsia="Times New Roman" w:hAnsi="Times New Roman"/>
          <w:color w:val="555555"/>
          <w:sz w:val="24"/>
          <w:szCs w:val="24"/>
          <w:lang w:eastAsia="pt-BR"/>
        </w:rPr>
        <w:t>Ficam também excluídas do Programa Nacional de Desestatização (PND) as subsidiárias da Eletrobrás, além de autorizar que a Eletrosul passe a atuar na geração e transmissão de energia.</w:t>
      </w:r>
    </w:p>
    <w:p w:rsidR="00EA3F65" w:rsidRPr="004125E3"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Amplia a inclusão social, com programas de universalização (“Programa Luz para Todos”)</w:t>
      </w:r>
    </w:p>
    <w:p w:rsidR="00EA3F65" w:rsidRPr="004125E3" w:rsidRDefault="00EA3F65" w:rsidP="00EA3F65">
      <w:pPr>
        <w:pStyle w:val="PargrafodaLista"/>
        <w:rPr>
          <w:rFonts w:ascii="Times New Roman" w:eastAsia="Times New Roman" w:hAnsi="Times New Roman"/>
          <w:color w:val="555555"/>
          <w:sz w:val="24"/>
          <w:szCs w:val="24"/>
          <w:lang w:eastAsia="pt-BR"/>
        </w:rPr>
      </w:pPr>
    </w:p>
    <w:p w:rsidR="00EA3F65" w:rsidRDefault="00EA3F65" w:rsidP="00EA3F65">
      <w:pPr>
        <w:pStyle w:val="PargrafodaLista"/>
        <w:rPr>
          <w:rFonts w:ascii="Times New Roman" w:eastAsia="Times New Roman" w:hAnsi="Times New Roman"/>
          <w:color w:val="555555"/>
          <w:sz w:val="24"/>
          <w:szCs w:val="24"/>
          <w:lang w:eastAsia="pt-BR"/>
        </w:rPr>
      </w:pPr>
    </w:p>
    <w:p w:rsidR="00EA3F65" w:rsidRDefault="00EA3F65" w:rsidP="00EA3F65">
      <w:pPr>
        <w:pStyle w:val="PargrafodaLista"/>
        <w:rPr>
          <w:rFonts w:ascii="Times New Roman" w:eastAsia="Times New Roman" w:hAnsi="Times New Roman"/>
          <w:color w:val="555555"/>
          <w:sz w:val="24"/>
          <w:szCs w:val="24"/>
          <w:lang w:eastAsia="pt-BR"/>
        </w:rPr>
      </w:pPr>
    </w:p>
    <w:p w:rsidR="00EA3F65" w:rsidRPr="00732254" w:rsidRDefault="00EA3F65" w:rsidP="00EA3F65">
      <w:pPr>
        <w:pStyle w:val="PargrafodaLista"/>
        <w:numPr>
          <w:ilvl w:val="0"/>
          <w:numId w:val="5"/>
        </w:numPr>
        <w:rPr>
          <w:rFonts w:ascii="Times New Roman" w:eastAsia="Times New Roman" w:hAnsi="Times New Roman"/>
          <w:sz w:val="24"/>
          <w:szCs w:val="24"/>
          <w:lang w:eastAsia="pt-BR"/>
        </w:rPr>
      </w:pPr>
      <w:r w:rsidRPr="00732254">
        <w:rPr>
          <w:rFonts w:ascii="Times New Roman" w:eastAsia="Times New Roman" w:hAnsi="Times New Roman"/>
          <w:b/>
          <w:sz w:val="24"/>
          <w:szCs w:val="24"/>
          <w:lang w:eastAsia="pt-BR"/>
        </w:rPr>
        <w:t>Renovação das Concessões</w:t>
      </w:r>
      <w:r>
        <w:rPr>
          <w:rFonts w:ascii="Times New Roman" w:eastAsia="Times New Roman" w:hAnsi="Times New Roman"/>
          <w:b/>
          <w:sz w:val="24"/>
          <w:szCs w:val="24"/>
          <w:lang w:eastAsia="pt-BR"/>
        </w:rPr>
        <w:t xml:space="preserve"> e o boicote do PSDB</w:t>
      </w:r>
      <w:r w:rsidRPr="00732254">
        <w:rPr>
          <w:rFonts w:ascii="Times New Roman" w:eastAsia="Times New Roman" w:hAnsi="Times New Roman"/>
          <w:b/>
          <w:sz w:val="24"/>
          <w:szCs w:val="24"/>
          <w:lang w:eastAsia="pt-BR"/>
        </w:rPr>
        <w:t>:</w:t>
      </w:r>
    </w:p>
    <w:p w:rsidR="00EA3F65" w:rsidRPr="00732254" w:rsidRDefault="00EA3F65" w:rsidP="00EA3F65">
      <w:pPr>
        <w:pStyle w:val="PargrafodaLista"/>
        <w:ind w:left="1080"/>
        <w:rPr>
          <w:rFonts w:ascii="Times New Roman" w:eastAsia="Times New Roman" w:hAnsi="Times New Roman"/>
          <w:sz w:val="24"/>
          <w:szCs w:val="24"/>
          <w:lang w:eastAsia="pt-BR"/>
        </w:rPr>
      </w:pPr>
    </w:p>
    <w:p w:rsidR="00EA3F65" w:rsidRPr="00732254" w:rsidRDefault="00EA3F65" w:rsidP="00EA3F65">
      <w:pPr>
        <w:pStyle w:val="PargrafodaLista"/>
        <w:ind w:firstLine="840"/>
        <w:jc w:val="both"/>
        <w:rPr>
          <w:rFonts w:ascii="Times New Roman" w:eastAsia="Times New Roman" w:hAnsi="Times New Roman"/>
          <w:sz w:val="24"/>
          <w:szCs w:val="24"/>
          <w:lang w:eastAsia="pt-BR"/>
        </w:rPr>
      </w:pPr>
      <w:r w:rsidRPr="00732254">
        <w:rPr>
          <w:rFonts w:ascii="Times New Roman" w:eastAsia="Times New Roman" w:hAnsi="Times New Roman"/>
          <w:sz w:val="24"/>
          <w:szCs w:val="24"/>
          <w:lang w:eastAsia="pt-BR"/>
        </w:rPr>
        <w:t xml:space="preserve">O programa de reestruturação do setor elétrico teve como objetivo central reduzir o custo da energia elétrica aos consumidores. A </w:t>
      </w:r>
      <w:r w:rsidRPr="00732254">
        <w:rPr>
          <w:rFonts w:ascii="Times New Roman" w:eastAsia="Times New Roman" w:hAnsi="Times New Roman"/>
          <w:b/>
          <w:sz w:val="24"/>
          <w:szCs w:val="24"/>
          <w:lang w:eastAsia="pt-BR"/>
        </w:rPr>
        <w:t>Lei 12.783/2013</w:t>
      </w:r>
      <w:r w:rsidRPr="00732254">
        <w:rPr>
          <w:rFonts w:ascii="Times New Roman" w:eastAsia="Times New Roman" w:hAnsi="Times New Roman"/>
          <w:sz w:val="24"/>
          <w:szCs w:val="24"/>
          <w:lang w:eastAsia="pt-BR"/>
        </w:rPr>
        <w:t xml:space="preserve"> (inicialmente MP nº 579/2012) definiu as regras para a renovação antecipada de um conjunto importante de concessões de geração, transmissão e distribuição de energia elétrica: 27% do parque gerador, 75% das linhas de transmissão do país e 42 concessionárias de distribuição. </w:t>
      </w:r>
    </w:p>
    <w:p w:rsidR="00EA3F65" w:rsidRPr="00732254" w:rsidRDefault="00EA3F65" w:rsidP="00EA3F65">
      <w:pPr>
        <w:pStyle w:val="PargrafodaLista"/>
        <w:ind w:firstLine="840"/>
        <w:jc w:val="both"/>
        <w:rPr>
          <w:rFonts w:ascii="Times New Roman" w:eastAsia="Times New Roman" w:hAnsi="Times New Roman"/>
          <w:sz w:val="24"/>
          <w:szCs w:val="24"/>
          <w:lang w:eastAsia="pt-BR"/>
        </w:rPr>
      </w:pPr>
      <w:r w:rsidRPr="00732254">
        <w:rPr>
          <w:rFonts w:ascii="Times New Roman" w:eastAsia="Times New Roman" w:hAnsi="Times New Roman"/>
          <w:sz w:val="24"/>
          <w:szCs w:val="24"/>
          <w:lang w:eastAsia="pt-BR"/>
        </w:rPr>
        <w:t xml:space="preserve">A redução das tarifas de energia elétrica – mais de 20% na média – foi o principal objetivo da Lei, e os seus impactos foram bastante significativos para os consumidores brasileiros. A modicidade tarifária (ou redução das tarifas) foi baseada na captura dos </w:t>
      </w:r>
      <w:r w:rsidRPr="00732254">
        <w:rPr>
          <w:rFonts w:ascii="Times New Roman" w:eastAsia="Times New Roman" w:hAnsi="Times New Roman"/>
          <w:sz w:val="24"/>
          <w:szCs w:val="24"/>
          <w:lang w:eastAsia="pt-BR"/>
        </w:rPr>
        <w:lastRenderedPageBreak/>
        <w:t xml:space="preserve">ganhos financeiros obtidos com a renovação das concessões de geração e transmissão (14%) e a assunção pelo Tesouro Nacional dos pagamentos dos encargos associados a políticas públicas como universalização do acesso (Programa “Luz para Todos”), tarifa de baixa renda e outros subsídios definidos </w:t>
      </w:r>
      <w:r>
        <w:rPr>
          <w:rFonts w:ascii="Times New Roman" w:eastAsia="Times New Roman" w:hAnsi="Times New Roman"/>
          <w:sz w:val="24"/>
          <w:szCs w:val="24"/>
          <w:lang w:eastAsia="pt-BR"/>
        </w:rPr>
        <w:t>em Lei (7%), reunidos na chamada Conta de Desenvolvimento Energético (CDE)</w:t>
      </w:r>
    </w:p>
    <w:p w:rsidR="00EA3F65" w:rsidRPr="00DA4A54" w:rsidRDefault="00EA3F65" w:rsidP="00EA3F65">
      <w:pPr>
        <w:pStyle w:val="PargrafodaLista"/>
        <w:ind w:firstLine="840"/>
        <w:jc w:val="both"/>
        <w:rPr>
          <w:rFonts w:ascii="Times New Roman" w:eastAsia="Times New Roman" w:hAnsi="Times New Roman"/>
          <w:b/>
          <w:sz w:val="24"/>
          <w:szCs w:val="24"/>
          <w:lang w:eastAsia="pt-BR"/>
        </w:rPr>
      </w:pPr>
      <w:r w:rsidRPr="00DA4A54">
        <w:rPr>
          <w:rFonts w:ascii="Times New Roman" w:eastAsia="Times New Roman" w:hAnsi="Times New Roman"/>
          <w:b/>
          <w:sz w:val="24"/>
          <w:szCs w:val="24"/>
          <w:lang w:eastAsia="pt-BR"/>
        </w:rPr>
        <w:t xml:space="preserve">Portanto, de forma simples e justa, a lei transferiu para a tarifa os ganhos na renovação das concessões, com base no custo médio de geração das usinas amortizadas e </w:t>
      </w:r>
      <w:r>
        <w:rPr>
          <w:rFonts w:ascii="Times New Roman" w:eastAsia="Times New Roman" w:hAnsi="Times New Roman"/>
          <w:b/>
          <w:sz w:val="24"/>
          <w:szCs w:val="24"/>
          <w:lang w:eastAsia="pt-BR"/>
        </w:rPr>
        <w:t xml:space="preserve">mais </w:t>
      </w:r>
      <w:r w:rsidRPr="00DA4A54">
        <w:rPr>
          <w:rFonts w:ascii="Times New Roman" w:eastAsia="Times New Roman" w:hAnsi="Times New Roman"/>
          <w:b/>
          <w:sz w:val="24"/>
          <w:szCs w:val="24"/>
          <w:lang w:eastAsia="pt-BR"/>
        </w:rPr>
        <w:t xml:space="preserve">um ganho para as empresas. </w:t>
      </w:r>
    </w:p>
    <w:p w:rsidR="00EA3F65" w:rsidRDefault="00EA3F65" w:rsidP="00EA3F65">
      <w:pPr>
        <w:pStyle w:val="PargrafodaLista"/>
        <w:ind w:firstLine="8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Porém, o modelo foi violentamente boicotado pelo PSDB, que possuía o controle de três empresas geradoras de energia no Sudeste: CESP, CEMIG e COPEL. Essas geradoras não aderiram ao modelo de antecipação das concessões com redução de tarifas, </w:t>
      </w:r>
      <w:r w:rsidRPr="00FF7A2B">
        <w:rPr>
          <w:rFonts w:ascii="Times New Roman" w:eastAsia="Times New Roman" w:hAnsi="Times New Roman"/>
          <w:sz w:val="24"/>
          <w:szCs w:val="24"/>
          <w:lang w:eastAsia="pt-BR"/>
        </w:rPr>
        <w:t xml:space="preserve">em benefício de </w:t>
      </w:r>
      <w:r>
        <w:rPr>
          <w:rFonts w:ascii="Times New Roman" w:eastAsia="Times New Roman" w:hAnsi="Times New Roman"/>
          <w:sz w:val="24"/>
          <w:szCs w:val="24"/>
          <w:lang w:eastAsia="pt-BR"/>
        </w:rPr>
        <w:t>operadores do mercado</w:t>
      </w:r>
      <w:r w:rsidRPr="00FF7A2B">
        <w:rPr>
          <w:rFonts w:ascii="Times New Roman" w:eastAsia="Times New Roman" w:hAnsi="Times New Roman"/>
          <w:sz w:val="24"/>
          <w:szCs w:val="24"/>
          <w:lang w:eastAsia="pt-BR"/>
        </w:rPr>
        <w:t xml:space="preserve"> e acionistas privados que abocanharam boa parte das ações das estatais controlados pelos governos de São Paulo, Minas Gerais e Paraná, na esteira do modelo privatista de FHC, entre 1995 e 2002.</w:t>
      </w:r>
      <w:r>
        <w:rPr>
          <w:rFonts w:ascii="Times New Roman" w:eastAsia="Times New Roman" w:hAnsi="Times New Roman"/>
          <w:sz w:val="24"/>
          <w:szCs w:val="24"/>
          <w:lang w:eastAsia="pt-BR"/>
        </w:rPr>
        <w:t xml:space="preserve"> </w:t>
      </w:r>
    </w:p>
    <w:p w:rsidR="00EA3F65" w:rsidRDefault="00EA3F65" w:rsidP="00EA3F65">
      <w:pPr>
        <w:pStyle w:val="PargrafodaLista"/>
        <w:ind w:firstLine="840"/>
        <w:jc w:val="both"/>
        <w:rPr>
          <w:rFonts w:ascii="Times New Roman" w:eastAsia="Times New Roman" w:hAnsi="Times New Roman"/>
          <w:sz w:val="24"/>
          <w:szCs w:val="24"/>
          <w:lang w:eastAsia="pt-BR"/>
        </w:rPr>
      </w:pPr>
      <w:r w:rsidRPr="00732254">
        <w:rPr>
          <w:rFonts w:ascii="Times New Roman" w:eastAsia="Times New Roman" w:hAnsi="Times New Roman"/>
          <w:sz w:val="24"/>
          <w:szCs w:val="24"/>
          <w:lang w:eastAsia="pt-BR"/>
        </w:rPr>
        <w:t>Um balanço do programa de renovação das concessões pode ser resumido da seguinte forma:</w:t>
      </w:r>
    </w:p>
    <w:p w:rsidR="00EA3F65" w:rsidRPr="00732254" w:rsidRDefault="00EA3F65" w:rsidP="00EA3F65">
      <w:pPr>
        <w:pStyle w:val="PargrafodaLista"/>
        <w:ind w:firstLine="8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A </w:t>
      </w:r>
      <w:r w:rsidRPr="00732254">
        <w:rPr>
          <w:rFonts w:ascii="Times New Roman" w:eastAsia="Times New Roman" w:hAnsi="Times New Roman"/>
          <w:sz w:val="24"/>
          <w:szCs w:val="24"/>
          <w:lang w:eastAsia="pt-BR"/>
        </w:rPr>
        <w:t>Eletrobrás</w:t>
      </w:r>
      <w:r>
        <w:rPr>
          <w:rFonts w:ascii="Times New Roman" w:eastAsia="Times New Roman" w:hAnsi="Times New Roman"/>
          <w:sz w:val="24"/>
          <w:szCs w:val="24"/>
          <w:lang w:eastAsia="pt-BR"/>
        </w:rPr>
        <w:t xml:space="preserve"> foi</w:t>
      </w:r>
      <w:r w:rsidRPr="00732254">
        <w:rPr>
          <w:rFonts w:ascii="Times New Roman" w:eastAsia="Times New Roman" w:hAnsi="Times New Roman"/>
          <w:sz w:val="24"/>
          <w:szCs w:val="24"/>
          <w:lang w:eastAsia="pt-BR"/>
        </w:rPr>
        <w:t xml:space="preserve"> principal responsável pela queda das tarifas verificada em 2013, </w:t>
      </w:r>
      <w:r>
        <w:rPr>
          <w:rFonts w:ascii="Times New Roman" w:eastAsia="Times New Roman" w:hAnsi="Times New Roman"/>
          <w:sz w:val="24"/>
          <w:szCs w:val="24"/>
          <w:lang w:eastAsia="pt-BR"/>
        </w:rPr>
        <w:t xml:space="preserve">porém </w:t>
      </w:r>
      <w:r w:rsidRPr="00732254">
        <w:rPr>
          <w:rFonts w:ascii="Times New Roman" w:eastAsia="Times New Roman" w:hAnsi="Times New Roman"/>
          <w:sz w:val="24"/>
          <w:szCs w:val="24"/>
          <w:lang w:eastAsia="pt-BR"/>
        </w:rPr>
        <w:t xml:space="preserve">sofreu significativa queda nas </w:t>
      </w:r>
      <w:r>
        <w:rPr>
          <w:rFonts w:ascii="Times New Roman" w:eastAsia="Times New Roman" w:hAnsi="Times New Roman"/>
          <w:sz w:val="24"/>
          <w:szCs w:val="24"/>
          <w:lang w:eastAsia="pt-BR"/>
        </w:rPr>
        <w:t xml:space="preserve">suas </w:t>
      </w:r>
      <w:r w:rsidRPr="00732254">
        <w:rPr>
          <w:rFonts w:ascii="Times New Roman" w:eastAsia="Times New Roman" w:hAnsi="Times New Roman"/>
          <w:sz w:val="24"/>
          <w:szCs w:val="24"/>
          <w:lang w:eastAsia="pt-BR"/>
        </w:rPr>
        <w:t>receitas</w:t>
      </w:r>
      <w:r>
        <w:rPr>
          <w:rFonts w:ascii="Times New Roman" w:eastAsia="Times New Roman" w:hAnsi="Times New Roman"/>
          <w:sz w:val="24"/>
          <w:szCs w:val="24"/>
          <w:lang w:eastAsia="pt-BR"/>
        </w:rPr>
        <w:t xml:space="preserve"> e</w:t>
      </w:r>
      <w:r w:rsidRPr="00732254">
        <w:rPr>
          <w:rFonts w:ascii="Times New Roman" w:eastAsia="Times New Roman" w:hAnsi="Times New Roman"/>
          <w:sz w:val="24"/>
          <w:szCs w:val="24"/>
          <w:lang w:eastAsia="pt-BR"/>
        </w:rPr>
        <w:t xml:space="preserve"> de suas geradora</w:t>
      </w:r>
      <w:r>
        <w:rPr>
          <w:rFonts w:ascii="Times New Roman" w:eastAsia="Times New Roman" w:hAnsi="Times New Roman"/>
          <w:sz w:val="24"/>
          <w:szCs w:val="24"/>
          <w:lang w:eastAsia="pt-BR"/>
        </w:rPr>
        <w:t>s (CHESF, Furnas e Eletronorte);</w:t>
      </w:r>
    </w:p>
    <w:p w:rsidR="00EA3F65" w:rsidRPr="00732254" w:rsidRDefault="00EA3F65" w:rsidP="00EA3F65">
      <w:pPr>
        <w:pStyle w:val="PargrafodaLista"/>
        <w:ind w:firstLine="8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O modelo vigente construído durante os governos Lula e Dilma se mostrou seguro e estável para suportar a maior crise hídrica em 50 anos, sem racionamento de energia elétrica;</w:t>
      </w:r>
    </w:p>
    <w:p w:rsidR="00EA3F65" w:rsidRDefault="00EA3F65" w:rsidP="00EA3F65">
      <w:pPr>
        <w:pStyle w:val="PargrafodaLista"/>
        <w:ind w:firstLine="8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O boicote da </w:t>
      </w:r>
      <w:r w:rsidRPr="00666DAE">
        <w:rPr>
          <w:rFonts w:ascii="Times New Roman" w:eastAsia="Times New Roman" w:hAnsi="Times New Roman"/>
          <w:sz w:val="24"/>
          <w:szCs w:val="24"/>
          <w:lang w:eastAsia="pt-BR"/>
        </w:rPr>
        <w:t>CESP, CEMIG e COPEL</w:t>
      </w:r>
      <w:r>
        <w:rPr>
          <w:rFonts w:ascii="Times New Roman" w:eastAsia="Times New Roman" w:hAnsi="Times New Roman"/>
          <w:sz w:val="24"/>
          <w:szCs w:val="24"/>
          <w:lang w:eastAsia="pt-BR"/>
        </w:rPr>
        <w:t xml:space="preserve"> quando</w:t>
      </w:r>
      <w:r w:rsidRPr="00732254">
        <w:rPr>
          <w:rFonts w:ascii="Times New Roman" w:eastAsia="Times New Roman" w:hAnsi="Times New Roman"/>
          <w:sz w:val="24"/>
          <w:szCs w:val="24"/>
          <w:lang w:eastAsia="pt-BR"/>
        </w:rPr>
        <w:t xml:space="preserve"> não aceitaram as condições para a renovação antecipada das concessões de geração</w:t>
      </w:r>
      <w:r>
        <w:rPr>
          <w:rFonts w:ascii="Times New Roman" w:eastAsia="Times New Roman" w:hAnsi="Times New Roman"/>
          <w:sz w:val="24"/>
          <w:szCs w:val="24"/>
          <w:lang w:eastAsia="pt-BR"/>
        </w:rPr>
        <w:t xml:space="preserve"> com a </w:t>
      </w:r>
      <w:r w:rsidRPr="00732254">
        <w:rPr>
          <w:rFonts w:ascii="Times New Roman" w:eastAsia="Times New Roman" w:hAnsi="Times New Roman"/>
          <w:sz w:val="24"/>
          <w:szCs w:val="24"/>
          <w:lang w:eastAsia="pt-BR"/>
        </w:rPr>
        <w:t>redução das tarifas e do valor dos ativos</w:t>
      </w:r>
      <w:r>
        <w:rPr>
          <w:rFonts w:ascii="Times New Roman" w:eastAsia="Times New Roman" w:hAnsi="Times New Roman"/>
          <w:sz w:val="24"/>
          <w:szCs w:val="24"/>
          <w:lang w:eastAsia="pt-BR"/>
        </w:rPr>
        <w:t xml:space="preserve"> provocou a necessidade de novos leiloes de energia, diminuindo a queda das tarifas de energia.</w:t>
      </w:r>
    </w:p>
    <w:p w:rsidR="00EA3F65" w:rsidRPr="00732254" w:rsidRDefault="00EA3F65" w:rsidP="00EA3F65">
      <w:pPr>
        <w:pStyle w:val="PargrafodaLista"/>
        <w:ind w:firstLine="8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Houve necessidade de regulamentar as novas regras</w:t>
      </w:r>
      <w:r w:rsidRPr="00732254">
        <w:rPr>
          <w:rFonts w:ascii="Times New Roman" w:eastAsia="Times New Roman" w:hAnsi="Times New Roman"/>
          <w:sz w:val="24"/>
          <w:szCs w:val="24"/>
          <w:lang w:eastAsia="pt-BR"/>
        </w:rPr>
        <w:t xml:space="preserve"> para a renovação das concessões de distribuição</w:t>
      </w:r>
      <w:r>
        <w:rPr>
          <w:rFonts w:ascii="Times New Roman" w:eastAsia="Times New Roman" w:hAnsi="Times New Roman"/>
          <w:sz w:val="24"/>
          <w:szCs w:val="24"/>
          <w:lang w:eastAsia="pt-BR"/>
        </w:rPr>
        <w:t>, que</w:t>
      </w:r>
      <w:r w:rsidRPr="00732254">
        <w:rPr>
          <w:rFonts w:ascii="Times New Roman" w:eastAsia="Times New Roman" w:hAnsi="Times New Roman"/>
          <w:sz w:val="24"/>
          <w:szCs w:val="24"/>
          <w:lang w:eastAsia="pt-BR"/>
        </w:rPr>
        <w:t xml:space="preserve"> só foram definidas em junho de 2015, por meio do Decreto 8.461/2015. Os atrasos na definição das regras, bem como o estabelecimento da obrigatoriedade de aporte de capital por parte dos acionistas controladores em caso de des</w:t>
      </w:r>
      <w:r>
        <w:rPr>
          <w:rFonts w:ascii="Times New Roman" w:eastAsia="Times New Roman" w:hAnsi="Times New Roman"/>
          <w:sz w:val="24"/>
          <w:szCs w:val="24"/>
          <w:lang w:eastAsia="pt-BR"/>
        </w:rPr>
        <w:t>cumprimento das metas definidas</w:t>
      </w:r>
      <w:r w:rsidRPr="00732254">
        <w:rPr>
          <w:rFonts w:ascii="Times New Roman" w:eastAsia="Times New Roman" w:hAnsi="Times New Roman"/>
          <w:sz w:val="24"/>
          <w:szCs w:val="24"/>
          <w:lang w:eastAsia="pt-BR"/>
        </w:rPr>
        <w:t xml:space="preserve"> dificultaram a renovação das concessões operadas pelas seis distribuidoras da Eletrobrás e a manutenção das concessões de algumas distribuidoras estatais estaduais.</w:t>
      </w:r>
    </w:p>
    <w:p w:rsidR="00EA3F65" w:rsidRPr="00DA5035" w:rsidRDefault="00EA3F65" w:rsidP="00EA3F65">
      <w:pPr>
        <w:pStyle w:val="PargrafodaLista"/>
        <w:ind w:left="1560"/>
        <w:jc w:val="both"/>
        <w:rPr>
          <w:rFonts w:ascii="Times New Roman" w:eastAsia="Times New Roman" w:hAnsi="Times New Roman"/>
          <w:color w:val="FF0000"/>
          <w:sz w:val="24"/>
          <w:szCs w:val="24"/>
          <w:lang w:eastAsia="pt-BR"/>
        </w:rPr>
      </w:pPr>
    </w:p>
    <w:p w:rsidR="00EA3F65" w:rsidRPr="00DA5035" w:rsidRDefault="00EA3F65" w:rsidP="00EA3F65">
      <w:pPr>
        <w:pStyle w:val="PargrafodaLista"/>
        <w:rPr>
          <w:rFonts w:ascii="Times New Roman" w:eastAsia="Times New Roman" w:hAnsi="Times New Roman"/>
          <w:color w:val="FF0000"/>
          <w:sz w:val="24"/>
          <w:szCs w:val="24"/>
          <w:lang w:eastAsia="pt-BR"/>
        </w:rPr>
      </w:pPr>
    </w:p>
    <w:p w:rsidR="00EA3F65" w:rsidRPr="00FC6A5B" w:rsidRDefault="00EA3F65" w:rsidP="00EA3F65">
      <w:pPr>
        <w:pStyle w:val="PargrafodaLista"/>
        <w:ind w:hanging="11"/>
        <w:jc w:val="both"/>
        <w:rPr>
          <w:rFonts w:ascii="Times New Roman" w:eastAsia="Times New Roman" w:hAnsi="Times New Roman"/>
          <w:b/>
          <w:sz w:val="24"/>
          <w:szCs w:val="24"/>
          <w:lang w:eastAsia="pt-BR"/>
        </w:rPr>
      </w:pPr>
      <w:r w:rsidRPr="00FC6A5B">
        <w:rPr>
          <w:rFonts w:ascii="Times New Roman" w:eastAsia="Times New Roman" w:hAnsi="Times New Roman"/>
          <w:b/>
          <w:sz w:val="24"/>
          <w:szCs w:val="24"/>
          <w:lang w:eastAsia="pt-BR"/>
        </w:rPr>
        <w:t>OS IMPACTOS DA CRISE HÍDRICA DE 2013</w:t>
      </w:r>
    </w:p>
    <w:p w:rsidR="00EA3F65" w:rsidRPr="00DA5035" w:rsidRDefault="00EA3F65" w:rsidP="00EA3F65">
      <w:pPr>
        <w:pStyle w:val="PargrafodaLista"/>
        <w:ind w:firstLine="840"/>
        <w:jc w:val="both"/>
        <w:rPr>
          <w:rFonts w:ascii="Times New Roman" w:eastAsia="Times New Roman" w:hAnsi="Times New Roman"/>
          <w:color w:val="FF0000"/>
          <w:sz w:val="24"/>
          <w:szCs w:val="24"/>
          <w:lang w:eastAsia="pt-BR"/>
        </w:rPr>
      </w:pPr>
    </w:p>
    <w:p w:rsidR="00EA3F65" w:rsidRPr="00FC6A5B" w:rsidRDefault="00EA3F65" w:rsidP="00EA3F65">
      <w:pPr>
        <w:pStyle w:val="PargrafodaLista"/>
        <w:ind w:firstLine="840"/>
        <w:jc w:val="both"/>
        <w:rPr>
          <w:rFonts w:ascii="Times New Roman" w:eastAsia="Times New Roman" w:hAnsi="Times New Roman"/>
          <w:sz w:val="24"/>
          <w:szCs w:val="24"/>
          <w:lang w:eastAsia="pt-BR"/>
        </w:rPr>
      </w:pPr>
      <w:r w:rsidRPr="00FC6A5B">
        <w:rPr>
          <w:rFonts w:ascii="Times New Roman" w:eastAsia="Times New Roman" w:hAnsi="Times New Roman"/>
          <w:sz w:val="24"/>
          <w:szCs w:val="24"/>
          <w:lang w:eastAsia="pt-BR"/>
        </w:rPr>
        <w:t xml:space="preserve">A “crise hídrica” de 2013 – maior seca nos últimos 50 anos – afetou diretamente os reservatórios das hidrelétricas, obrigando o acionamento imediato das usinas termoelétricas, que geram energia a um custo maior. </w:t>
      </w:r>
    </w:p>
    <w:p w:rsidR="00EA3F65" w:rsidRPr="00FC6A5B" w:rsidRDefault="00EA3F65" w:rsidP="00EA3F65">
      <w:pPr>
        <w:pStyle w:val="PargrafodaLista"/>
        <w:ind w:firstLine="840"/>
        <w:jc w:val="both"/>
        <w:rPr>
          <w:rFonts w:ascii="Times New Roman" w:eastAsia="Times New Roman" w:hAnsi="Times New Roman"/>
          <w:sz w:val="24"/>
          <w:szCs w:val="24"/>
          <w:lang w:eastAsia="pt-BR"/>
        </w:rPr>
      </w:pPr>
      <w:r w:rsidRPr="00FC6A5B">
        <w:rPr>
          <w:rFonts w:ascii="Times New Roman" w:eastAsia="Times New Roman" w:hAnsi="Times New Roman"/>
          <w:sz w:val="24"/>
          <w:szCs w:val="24"/>
          <w:lang w:eastAsia="pt-BR"/>
        </w:rPr>
        <w:t xml:space="preserve">Apesar disso, diferentemente do “apagão” de 2001 no governo FHC, o sistema elétrico brasileiro sustentou a demanda por energia sem racionamento, o que mostra o </w:t>
      </w:r>
      <w:r w:rsidRPr="00FC6A5B">
        <w:rPr>
          <w:rFonts w:ascii="Times New Roman" w:eastAsia="Times New Roman" w:hAnsi="Times New Roman"/>
          <w:sz w:val="24"/>
          <w:szCs w:val="24"/>
          <w:lang w:eastAsia="pt-BR"/>
        </w:rPr>
        <w:lastRenderedPageBreak/>
        <w:t>acerto do modelo implantado por Lula e Dilma nos anos anteriores, que deu segurança ao suprimento com redução de tarifas.</w:t>
      </w:r>
    </w:p>
    <w:p w:rsidR="00EA3F65" w:rsidRPr="00FC6A5B" w:rsidRDefault="00EA3F65" w:rsidP="00EA3F65">
      <w:pPr>
        <w:pStyle w:val="PargrafodaLista"/>
        <w:ind w:firstLine="840"/>
        <w:jc w:val="both"/>
        <w:rPr>
          <w:rFonts w:ascii="Times New Roman" w:eastAsia="Times New Roman" w:hAnsi="Times New Roman"/>
          <w:sz w:val="24"/>
          <w:szCs w:val="24"/>
          <w:lang w:eastAsia="pt-BR"/>
        </w:rPr>
      </w:pPr>
      <w:r w:rsidRPr="00FC6A5B">
        <w:rPr>
          <w:rFonts w:ascii="Times New Roman" w:eastAsia="Times New Roman" w:hAnsi="Times New Roman"/>
          <w:sz w:val="24"/>
          <w:szCs w:val="24"/>
          <w:lang w:eastAsia="pt-BR"/>
        </w:rPr>
        <w:t xml:space="preserve">No entanto, o agravamento da crise hídrica também provocou, além do aumento de custos causado pelo acréscimo da geração térmica, um forte processo especulativo no mercado de energia de curto prazo, que fizeram com que a redução de tarifas tivesse vida curta. </w:t>
      </w:r>
    </w:p>
    <w:p w:rsidR="00EA3F65" w:rsidRPr="00FC6A5B" w:rsidRDefault="00EA3F65" w:rsidP="00EA3F65">
      <w:pPr>
        <w:pStyle w:val="PargrafodaLista"/>
        <w:ind w:firstLine="840"/>
        <w:jc w:val="both"/>
        <w:rPr>
          <w:rFonts w:ascii="Times New Roman" w:eastAsia="Times New Roman" w:hAnsi="Times New Roman"/>
          <w:sz w:val="24"/>
          <w:szCs w:val="24"/>
          <w:lang w:eastAsia="pt-BR"/>
        </w:rPr>
      </w:pPr>
      <w:r w:rsidRPr="00FC6A5B">
        <w:rPr>
          <w:rFonts w:ascii="Times New Roman" w:eastAsia="Times New Roman" w:hAnsi="Times New Roman"/>
          <w:sz w:val="24"/>
          <w:szCs w:val="24"/>
          <w:lang w:eastAsia="pt-BR"/>
        </w:rPr>
        <w:t>A restrição no despacho das usinas hidráulicas e a elevação da participação de fontes térmicas na base da geração trouxe consigo uma elevação no PLD</w:t>
      </w:r>
      <w:r w:rsidRPr="00FC6A5B">
        <w:rPr>
          <w:vertAlign w:val="superscript"/>
        </w:rPr>
        <w:footnoteReference w:id="1"/>
      </w:r>
      <w:r w:rsidRPr="00FC6A5B">
        <w:rPr>
          <w:rFonts w:ascii="Times New Roman" w:eastAsia="Times New Roman" w:hAnsi="Times New Roman"/>
          <w:sz w:val="24"/>
          <w:szCs w:val="24"/>
          <w:lang w:eastAsia="pt-BR"/>
        </w:rPr>
        <w:t xml:space="preserve"> e, consequentemente, um aumento nos custos com aquisição de energia para revenda por parte das empresas de distribuição de energia elétrica.  No início da crise hídrica, o valor do PLD atingiu R$ 414,00 por MWh, enquanto o valor médio do ano estava pagando R$ 263,00 por MWh. Em 2014, com o agravamento da crise hídrica, o valor médio do PLD atingiu R$ 690,00 por MWh, piorando a situação. </w:t>
      </w:r>
    </w:p>
    <w:p w:rsidR="00EA3F65" w:rsidRPr="00FC6A5B" w:rsidRDefault="00EA3F65" w:rsidP="00EA3F65">
      <w:pPr>
        <w:pStyle w:val="PargrafodaLista"/>
        <w:ind w:firstLine="840"/>
        <w:jc w:val="both"/>
        <w:rPr>
          <w:rFonts w:ascii="Times New Roman" w:eastAsia="Times New Roman" w:hAnsi="Times New Roman"/>
          <w:sz w:val="24"/>
          <w:szCs w:val="24"/>
          <w:lang w:eastAsia="pt-BR"/>
        </w:rPr>
      </w:pPr>
      <w:r w:rsidRPr="00FC6A5B">
        <w:rPr>
          <w:rFonts w:ascii="Times New Roman" w:eastAsia="Times New Roman" w:hAnsi="Times New Roman"/>
          <w:sz w:val="24"/>
          <w:szCs w:val="24"/>
          <w:lang w:eastAsia="pt-BR"/>
        </w:rPr>
        <w:t xml:space="preserve">Estes valores foram incorporados às tarifas em 2014 e sobretudo em 2015, quando todos os desequilíbrios das distribuidoras nos primeiros anos da crise hídrica foram colocados nas tarifas pela ANEEL. </w:t>
      </w:r>
    </w:p>
    <w:p w:rsidR="00EA3F65" w:rsidRPr="008A4E2C" w:rsidRDefault="00EA3F65" w:rsidP="00EA3F65">
      <w:pPr>
        <w:pStyle w:val="PargrafodaLista"/>
        <w:ind w:firstLine="84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Em 2015, o governo Dilma adotou uma série de medidas para atenuar os efeitos </w:t>
      </w:r>
      <w:r w:rsidRPr="005A5332">
        <w:rPr>
          <w:rFonts w:ascii="Times New Roman" w:eastAsia="Times New Roman" w:hAnsi="Times New Roman"/>
          <w:sz w:val="24"/>
          <w:szCs w:val="24"/>
          <w:lang w:eastAsia="pt-BR"/>
        </w:rPr>
        <w:t xml:space="preserve">da crise hídrica sobre os </w:t>
      </w:r>
      <w:r w:rsidRPr="00FC6A5B">
        <w:rPr>
          <w:rFonts w:ascii="Times New Roman" w:eastAsia="Times New Roman" w:hAnsi="Times New Roman"/>
          <w:sz w:val="24"/>
          <w:szCs w:val="24"/>
          <w:lang w:eastAsia="pt-BR"/>
        </w:rPr>
        <w:t xml:space="preserve">custos de energia no país, </w:t>
      </w:r>
      <w:r>
        <w:rPr>
          <w:rFonts w:ascii="Times New Roman" w:eastAsia="Times New Roman" w:hAnsi="Times New Roman"/>
          <w:sz w:val="24"/>
          <w:szCs w:val="24"/>
          <w:lang w:eastAsia="pt-BR"/>
        </w:rPr>
        <w:t>por meio da</w:t>
      </w:r>
      <w:r w:rsidRPr="00FC6A5B">
        <w:rPr>
          <w:rFonts w:ascii="Times New Roman" w:eastAsia="Times New Roman" w:hAnsi="Times New Roman"/>
          <w:sz w:val="24"/>
          <w:szCs w:val="24"/>
          <w:lang w:eastAsia="pt-BR"/>
        </w:rPr>
        <w:t xml:space="preserve"> MP </w:t>
      </w:r>
      <w:r>
        <w:rPr>
          <w:rFonts w:ascii="Times New Roman" w:eastAsia="Times New Roman" w:hAnsi="Times New Roman"/>
          <w:sz w:val="24"/>
          <w:szCs w:val="24"/>
          <w:lang w:eastAsia="pt-BR"/>
        </w:rPr>
        <w:t xml:space="preserve">nº </w:t>
      </w:r>
      <w:r w:rsidRPr="00FC6A5B">
        <w:rPr>
          <w:rFonts w:ascii="Times New Roman" w:eastAsia="Times New Roman" w:hAnsi="Times New Roman"/>
          <w:sz w:val="24"/>
          <w:szCs w:val="24"/>
          <w:lang w:eastAsia="pt-BR"/>
        </w:rPr>
        <w:t>688</w:t>
      </w:r>
      <w:r>
        <w:rPr>
          <w:rFonts w:ascii="Times New Roman" w:eastAsia="Times New Roman" w:hAnsi="Times New Roman"/>
          <w:sz w:val="24"/>
          <w:szCs w:val="24"/>
          <w:lang w:eastAsia="pt-BR"/>
        </w:rPr>
        <w:t>, depois convertida na Lei 13.203, de 2015</w:t>
      </w:r>
      <w:r w:rsidRPr="00FC6A5B">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Ess</w:t>
      </w:r>
      <w:r w:rsidRPr="008A4E2C">
        <w:rPr>
          <w:rFonts w:ascii="Times New Roman" w:eastAsia="Times New Roman" w:hAnsi="Times New Roman"/>
          <w:sz w:val="24"/>
          <w:szCs w:val="24"/>
          <w:lang w:eastAsia="pt-BR"/>
        </w:rPr>
        <w:t>a MP, a despeito de ter sido levada ao Congresso com o objetivo de dar solução para a exposição financeira dos geradores hídricos ao GSF</w:t>
      </w:r>
      <w:r w:rsidRPr="008A4E2C">
        <w:rPr>
          <w:vertAlign w:val="superscript"/>
        </w:rPr>
        <w:footnoteReference w:id="2"/>
      </w:r>
      <w:r w:rsidRPr="008A4E2C">
        <w:rPr>
          <w:rFonts w:ascii="Times New Roman" w:eastAsia="Times New Roman" w:hAnsi="Times New Roman"/>
          <w:sz w:val="24"/>
          <w:szCs w:val="24"/>
          <w:lang w:eastAsia="pt-BR"/>
        </w:rPr>
        <w:t xml:space="preserve"> (“</w:t>
      </w:r>
      <w:r w:rsidRPr="008A4E2C">
        <w:rPr>
          <w:rFonts w:ascii="Times New Roman" w:eastAsia="Times New Roman" w:hAnsi="Times New Roman"/>
          <w:i/>
          <w:sz w:val="24"/>
          <w:szCs w:val="24"/>
          <w:lang w:eastAsia="pt-BR"/>
        </w:rPr>
        <w:t>generation scaling fator</w:t>
      </w:r>
      <w:r w:rsidRPr="008A4E2C">
        <w:rPr>
          <w:rFonts w:ascii="Times New Roman" w:eastAsia="Times New Roman" w:hAnsi="Times New Roman"/>
          <w:sz w:val="24"/>
          <w:szCs w:val="24"/>
          <w:lang w:eastAsia="pt-BR"/>
        </w:rPr>
        <w:t>”), alterou o comando de renovação das concessões de usinas definido na MP 579 e passou a cobrar pela outorga em troca de as geradoras ficarem com 30% da energia para livre comercialização. Esta opção teve o objetivo de cobrir o déficit do Tesouro através das contas de luz, o que obviamente encarecerá o custo de energia do país para sempre.</w:t>
      </w:r>
    </w:p>
    <w:p w:rsidR="00EA3F65" w:rsidRPr="008A4E2C" w:rsidRDefault="00EA3F65" w:rsidP="00EA3F65">
      <w:pPr>
        <w:pStyle w:val="PargrafodaLista"/>
        <w:ind w:firstLine="840"/>
        <w:jc w:val="both"/>
        <w:rPr>
          <w:rFonts w:ascii="Times New Roman" w:eastAsia="Times New Roman" w:hAnsi="Times New Roman"/>
          <w:sz w:val="24"/>
          <w:szCs w:val="24"/>
          <w:lang w:eastAsia="pt-BR"/>
        </w:rPr>
      </w:pPr>
    </w:p>
    <w:p w:rsidR="00EA3F65" w:rsidRDefault="00EA3F65" w:rsidP="00EA3F65">
      <w:pPr>
        <w:pStyle w:val="PargrafodaLista"/>
        <w:rPr>
          <w:rFonts w:ascii="Times New Roman" w:eastAsia="Times New Roman" w:hAnsi="Times New Roman"/>
          <w:b/>
          <w:color w:val="555555"/>
          <w:sz w:val="24"/>
          <w:szCs w:val="24"/>
          <w:lang w:eastAsia="pt-BR"/>
        </w:rPr>
      </w:pPr>
    </w:p>
    <w:p w:rsidR="00EA3F65" w:rsidRDefault="00EA3F65" w:rsidP="00EA3F65">
      <w:pPr>
        <w:pStyle w:val="PargrafodaLista"/>
        <w:numPr>
          <w:ilvl w:val="0"/>
          <w:numId w:val="5"/>
        </w:numPr>
        <w:rPr>
          <w:rFonts w:ascii="Times New Roman" w:eastAsia="Times New Roman" w:hAnsi="Times New Roman"/>
          <w:b/>
          <w:color w:val="555555"/>
          <w:sz w:val="24"/>
          <w:szCs w:val="24"/>
          <w:lang w:eastAsia="pt-BR"/>
        </w:rPr>
      </w:pPr>
      <w:r>
        <w:rPr>
          <w:rFonts w:ascii="Times New Roman" w:eastAsia="Times New Roman" w:hAnsi="Times New Roman"/>
          <w:b/>
          <w:color w:val="555555"/>
          <w:sz w:val="24"/>
          <w:szCs w:val="24"/>
          <w:lang w:eastAsia="pt-BR"/>
        </w:rPr>
        <w:t>TEMER: Privatização – Desnacionalização – Descotização</w:t>
      </w:r>
    </w:p>
    <w:p w:rsidR="00EA3F65" w:rsidRPr="00D10913" w:rsidRDefault="00EA3F65" w:rsidP="00EA3F65">
      <w:pPr>
        <w:ind w:left="720"/>
        <w:rPr>
          <w:rFonts w:ascii="Times New Roman" w:eastAsia="Times New Roman" w:hAnsi="Times New Roman"/>
          <w:b/>
          <w:color w:val="555555"/>
          <w:sz w:val="24"/>
          <w:szCs w:val="24"/>
          <w:lang w:eastAsia="pt-BR"/>
        </w:rPr>
      </w:pP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A23A14">
        <w:rPr>
          <w:rFonts w:ascii="Times New Roman" w:eastAsia="Times New Roman" w:hAnsi="Times New Roman"/>
          <w:color w:val="555555"/>
          <w:sz w:val="24"/>
          <w:szCs w:val="24"/>
          <w:lang w:eastAsia="pt-BR"/>
        </w:rPr>
        <w:t xml:space="preserve">Em setembro de 2016, o Governo Temer lançou o </w:t>
      </w:r>
      <w:r w:rsidRPr="00E01207">
        <w:rPr>
          <w:rFonts w:ascii="Times New Roman" w:eastAsia="Times New Roman" w:hAnsi="Times New Roman"/>
          <w:color w:val="555555"/>
          <w:sz w:val="24"/>
          <w:szCs w:val="24"/>
          <w:lang w:eastAsia="pt-BR"/>
        </w:rPr>
        <w:t>Programa de Parceria do Investimento (PPI)</w:t>
      </w:r>
      <w:r w:rsidRPr="00A23A14">
        <w:rPr>
          <w:rFonts w:ascii="Times New Roman" w:eastAsia="Times New Roman" w:hAnsi="Times New Roman"/>
          <w:color w:val="555555"/>
          <w:sz w:val="24"/>
          <w:szCs w:val="24"/>
          <w:lang w:eastAsia="pt-BR"/>
        </w:rPr>
        <w:t xml:space="preserve">, </w:t>
      </w:r>
      <w:r w:rsidRPr="004125E3">
        <w:rPr>
          <w:rFonts w:ascii="Times New Roman" w:eastAsia="Times New Roman" w:hAnsi="Times New Roman"/>
          <w:b/>
          <w:color w:val="555555"/>
          <w:sz w:val="24"/>
          <w:szCs w:val="24"/>
          <w:lang w:eastAsia="pt-BR"/>
        </w:rPr>
        <w:t>Lei</w:t>
      </w:r>
      <w:r>
        <w:rPr>
          <w:rFonts w:ascii="Times New Roman" w:eastAsia="Times New Roman" w:hAnsi="Times New Roman"/>
          <w:b/>
          <w:color w:val="555555"/>
          <w:sz w:val="24"/>
          <w:szCs w:val="24"/>
          <w:lang w:eastAsia="pt-BR"/>
        </w:rPr>
        <w:t xml:space="preserve"> nº</w:t>
      </w:r>
      <w:r w:rsidRPr="004125E3">
        <w:rPr>
          <w:rFonts w:ascii="Times New Roman" w:eastAsia="Times New Roman" w:hAnsi="Times New Roman"/>
          <w:b/>
          <w:color w:val="555555"/>
          <w:sz w:val="24"/>
          <w:szCs w:val="24"/>
          <w:lang w:eastAsia="pt-BR"/>
        </w:rPr>
        <w:t xml:space="preserve"> 13.334/2016</w:t>
      </w:r>
      <w:r w:rsidRPr="00A23A14">
        <w:rPr>
          <w:rFonts w:ascii="Times New Roman" w:eastAsia="Times New Roman" w:hAnsi="Times New Roman"/>
          <w:color w:val="555555"/>
          <w:sz w:val="24"/>
          <w:szCs w:val="24"/>
          <w:lang w:eastAsia="pt-BR"/>
        </w:rPr>
        <w:t xml:space="preserve">, normatizando o processo de concessões e </w:t>
      </w:r>
      <w:r w:rsidRPr="00D707E1">
        <w:rPr>
          <w:rFonts w:ascii="Times New Roman" w:eastAsia="Times New Roman" w:hAnsi="Times New Roman"/>
          <w:color w:val="555555"/>
          <w:sz w:val="24"/>
          <w:szCs w:val="24"/>
          <w:lang w:eastAsia="pt-BR"/>
        </w:rPr>
        <w:t>privatizações</w:t>
      </w:r>
      <w:r w:rsidRPr="00A23A14">
        <w:rPr>
          <w:rFonts w:ascii="Times New Roman" w:eastAsia="Times New Roman" w:hAnsi="Times New Roman"/>
          <w:color w:val="555555"/>
          <w:sz w:val="24"/>
          <w:szCs w:val="24"/>
          <w:lang w:eastAsia="pt-BR"/>
        </w:rPr>
        <w:t xml:space="preserve"> para os próximos anos.</w:t>
      </w:r>
      <w:r>
        <w:rPr>
          <w:rFonts w:ascii="Times New Roman" w:eastAsia="Times New Roman" w:hAnsi="Times New Roman"/>
          <w:color w:val="555555"/>
          <w:sz w:val="24"/>
          <w:szCs w:val="24"/>
          <w:lang w:eastAsia="pt-BR"/>
        </w:rPr>
        <w:t xml:space="preserve"> O </w:t>
      </w:r>
      <w:r w:rsidRPr="00D707E1">
        <w:rPr>
          <w:rFonts w:ascii="Times New Roman" w:eastAsia="Times New Roman" w:hAnsi="Times New Roman"/>
          <w:color w:val="555555"/>
          <w:sz w:val="24"/>
          <w:szCs w:val="24"/>
          <w:lang w:eastAsia="pt-BR"/>
        </w:rPr>
        <w:t>PPI inclui também os setores de aeroportos, rodovias, ferrovias e petróleo.</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D10913" w:rsidRDefault="00EA3F65" w:rsidP="00EA3F65">
      <w:pPr>
        <w:pStyle w:val="PargrafodaLista"/>
        <w:ind w:firstLine="840"/>
        <w:jc w:val="both"/>
        <w:rPr>
          <w:rFonts w:ascii="Times New Roman" w:eastAsia="Times New Roman" w:hAnsi="Times New Roman"/>
          <w:color w:val="555555"/>
          <w:sz w:val="24"/>
          <w:szCs w:val="24"/>
          <w:lang w:eastAsia="pt-BR"/>
        </w:rPr>
      </w:pPr>
      <w:r w:rsidRPr="00D10913">
        <w:rPr>
          <w:rFonts w:ascii="Times New Roman" w:eastAsia="Times New Roman" w:hAnsi="Times New Roman"/>
          <w:color w:val="555555"/>
          <w:sz w:val="24"/>
          <w:szCs w:val="24"/>
          <w:lang w:eastAsia="pt-BR"/>
        </w:rPr>
        <w:t>A partir do PPI</w:t>
      </w:r>
      <w:r>
        <w:rPr>
          <w:rFonts w:ascii="Times New Roman" w:eastAsia="Times New Roman" w:hAnsi="Times New Roman"/>
          <w:color w:val="555555"/>
          <w:sz w:val="24"/>
          <w:szCs w:val="24"/>
          <w:lang w:eastAsia="pt-BR"/>
        </w:rPr>
        <w:t>,</w:t>
      </w:r>
      <w:r w:rsidRPr="00D10913">
        <w:rPr>
          <w:rFonts w:ascii="Times New Roman" w:eastAsia="Times New Roman" w:hAnsi="Times New Roman"/>
          <w:color w:val="555555"/>
          <w:sz w:val="24"/>
          <w:szCs w:val="24"/>
          <w:lang w:eastAsia="pt-BR"/>
        </w:rPr>
        <w:t xml:space="preserve"> são três os instrumentos </w:t>
      </w:r>
      <w:r>
        <w:rPr>
          <w:rFonts w:ascii="Times New Roman" w:eastAsia="Times New Roman" w:hAnsi="Times New Roman"/>
          <w:color w:val="555555"/>
          <w:sz w:val="24"/>
          <w:szCs w:val="24"/>
          <w:lang w:eastAsia="pt-BR"/>
        </w:rPr>
        <w:t>legais</w:t>
      </w:r>
      <w:r w:rsidRPr="00D10913">
        <w:rPr>
          <w:rFonts w:ascii="Times New Roman" w:eastAsia="Times New Roman" w:hAnsi="Times New Roman"/>
          <w:color w:val="555555"/>
          <w:sz w:val="24"/>
          <w:szCs w:val="24"/>
          <w:lang w:eastAsia="pt-BR"/>
        </w:rPr>
        <w:t xml:space="preserve"> para privatização e desnacionalização do Setor Elétrico Brasileiro: </w:t>
      </w:r>
    </w:p>
    <w:p w:rsidR="00EA3F65" w:rsidRDefault="00EA3F65" w:rsidP="00EA3F65">
      <w:pPr>
        <w:pStyle w:val="PargrafodaLista"/>
        <w:ind w:firstLine="840"/>
        <w:jc w:val="both"/>
        <w:rPr>
          <w:rFonts w:ascii="Times New Roman" w:eastAsia="Times New Roman" w:hAnsi="Times New Roman"/>
          <w:b/>
          <w:color w:val="555555"/>
          <w:sz w:val="24"/>
          <w:szCs w:val="24"/>
          <w:lang w:eastAsia="pt-BR"/>
        </w:rPr>
      </w:pPr>
    </w:p>
    <w:p w:rsidR="00EA3F65" w:rsidRDefault="00EA3F65" w:rsidP="00EA3F65">
      <w:pPr>
        <w:pStyle w:val="PargrafodaLista"/>
        <w:rPr>
          <w:rFonts w:ascii="Times New Roman" w:eastAsia="Times New Roman" w:hAnsi="Times New Roman"/>
          <w:color w:val="555555"/>
          <w:sz w:val="24"/>
          <w:szCs w:val="24"/>
          <w:lang w:eastAsia="pt-BR"/>
        </w:rPr>
      </w:pPr>
      <w:r>
        <w:rPr>
          <w:rFonts w:ascii="Times New Roman" w:eastAsia="Times New Roman" w:hAnsi="Times New Roman"/>
          <w:b/>
          <w:color w:val="555555"/>
          <w:sz w:val="24"/>
          <w:szCs w:val="24"/>
          <w:lang w:eastAsia="pt-BR"/>
        </w:rPr>
        <w:lastRenderedPageBreak/>
        <w:t xml:space="preserve">    3.</w:t>
      </w:r>
      <w:r w:rsidRPr="00D707E1">
        <w:rPr>
          <w:rFonts w:ascii="Times New Roman" w:eastAsia="Times New Roman" w:hAnsi="Times New Roman"/>
          <w:b/>
          <w:color w:val="555555"/>
          <w:sz w:val="24"/>
          <w:szCs w:val="24"/>
          <w:lang w:eastAsia="pt-BR"/>
        </w:rPr>
        <w:t>1</w:t>
      </w:r>
      <w:r>
        <w:rPr>
          <w:rFonts w:ascii="Times New Roman" w:eastAsia="Times New Roman" w:hAnsi="Times New Roman"/>
          <w:b/>
          <w:color w:val="555555"/>
          <w:sz w:val="24"/>
          <w:szCs w:val="24"/>
          <w:lang w:eastAsia="pt-BR"/>
        </w:rPr>
        <w:t xml:space="preserve">- </w:t>
      </w:r>
      <w:r w:rsidRPr="00A23A14">
        <w:rPr>
          <w:rFonts w:ascii="Times New Roman" w:eastAsia="Times New Roman" w:hAnsi="Times New Roman"/>
          <w:color w:val="555555"/>
          <w:sz w:val="24"/>
          <w:szCs w:val="24"/>
          <w:lang w:eastAsia="pt-BR"/>
        </w:rPr>
        <w:t xml:space="preserve"> </w:t>
      </w:r>
      <w:r w:rsidRPr="00D707E1">
        <w:rPr>
          <w:rFonts w:ascii="Times New Roman" w:eastAsia="Times New Roman" w:hAnsi="Times New Roman"/>
          <w:b/>
          <w:color w:val="555555"/>
          <w:sz w:val="24"/>
          <w:szCs w:val="24"/>
          <w:lang w:eastAsia="pt-BR"/>
        </w:rPr>
        <w:t>Decreto n.º 8.893, de 1º de novembro de 2016</w:t>
      </w:r>
      <w:r w:rsidRPr="00A23A14">
        <w:rPr>
          <w:rFonts w:ascii="Times New Roman" w:eastAsia="Times New Roman" w:hAnsi="Times New Roman"/>
          <w:color w:val="555555"/>
          <w:sz w:val="24"/>
          <w:szCs w:val="24"/>
          <w:lang w:eastAsia="pt-BR"/>
        </w:rPr>
        <w:t xml:space="preserve">, </w:t>
      </w:r>
      <w:r>
        <w:rPr>
          <w:rFonts w:ascii="Times New Roman" w:eastAsia="Times New Roman" w:hAnsi="Times New Roman"/>
          <w:color w:val="555555"/>
          <w:sz w:val="24"/>
          <w:szCs w:val="24"/>
          <w:lang w:eastAsia="pt-BR"/>
        </w:rPr>
        <w:t>que define como prioridade:</w:t>
      </w:r>
    </w:p>
    <w:p w:rsidR="00EA3F65" w:rsidRPr="00A23A14" w:rsidRDefault="00EA3F65" w:rsidP="00EA3F65">
      <w:pPr>
        <w:pStyle w:val="PargrafodaLista"/>
        <w:rPr>
          <w:rFonts w:ascii="Times New Roman" w:eastAsia="Times New Roman" w:hAnsi="Times New Roman"/>
          <w:color w:val="555555"/>
          <w:sz w:val="24"/>
          <w:szCs w:val="24"/>
          <w:lang w:eastAsia="pt-BR"/>
        </w:rPr>
      </w:pPr>
    </w:p>
    <w:p w:rsidR="00EA3F65" w:rsidRPr="00D10913"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sidRPr="00D10913">
        <w:rPr>
          <w:rFonts w:ascii="Times New Roman" w:eastAsia="Times New Roman" w:hAnsi="Times New Roman"/>
          <w:color w:val="555555"/>
          <w:sz w:val="24"/>
          <w:szCs w:val="24"/>
          <w:lang w:eastAsia="pt-BR"/>
        </w:rPr>
        <w:t>a venda das seis distribuidoras da Eletrobrás e a outorga das respectivas</w:t>
      </w:r>
      <w:r>
        <w:rPr>
          <w:rFonts w:ascii="Times New Roman" w:eastAsia="Times New Roman" w:hAnsi="Times New Roman"/>
          <w:color w:val="555555"/>
          <w:sz w:val="24"/>
          <w:szCs w:val="24"/>
          <w:lang w:eastAsia="pt-BR"/>
        </w:rPr>
        <w:t xml:space="preserve"> </w:t>
      </w:r>
      <w:r w:rsidRPr="00D10913">
        <w:rPr>
          <w:rFonts w:ascii="Times New Roman" w:eastAsia="Times New Roman" w:hAnsi="Times New Roman"/>
          <w:color w:val="555555"/>
          <w:sz w:val="24"/>
          <w:szCs w:val="24"/>
          <w:lang w:eastAsia="pt-BR"/>
        </w:rPr>
        <w:t>concessões</w:t>
      </w:r>
      <w:r>
        <w:rPr>
          <w:rFonts w:ascii="Times New Roman" w:eastAsia="Times New Roman" w:hAnsi="Times New Roman"/>
          <w:color w:val="555555"/>
          <w:sz w:val="24"/>
          <w:szCs w:val="24"/>
          <w:lang w:eastAsia="pt-BR"/>
        </w:rPr>
        <w:t>:</w:t>
      </w:r>
      <w:r w:rsidRPr="00D10913">
        <w:rPr>
          <w:rFonts w:ascii="Times New Roman" w:eastAsia="Times New Roman" w:hAnsi="Times New Roman"/>
          <w:color w:val="555555"/>
          <w:sz w:val="24"/>
          <w:szCs w:val="24"/>
          <w:lang w:eastAsia="pt-BR"/>
        </w:rPr>
        <w:t xml:space="preserve"> Amazonas Energia (AM), Boa Vista Energia (RR), Eletroacre (AC), Ceal (AL) e Cepisa (PI), e Ceron (RO)  </w:t>
      </w:r>
    </w:p>
    <w:p w:rsidR="00EA3F65" w:rsidRDefault="00EA3F65" w:rsidP="00EA3F65">
      <w:pPr>
        <w:pStyle w:val="PargrafodaLista"/>
        <w:numPr>
          <w:ilvl w:val="0"/>
          <w:numId w:val="3"/>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 xml:space="preserve">a </w:t>
      </w:r>
      <w:r w:rsidRPr="00A23A14">
        <w:rPr>
          <w:rFonts w:ascii="Times New Roman" w:eastAsia="Times New Roman" w:hAnsi="Times New Roman"/>
          <w:color w:val="555555"/>
          <w:sz w:val="24"/>
          <w:szCs w:val="24"/>
          <w:lang w:eastAsia="pt-BR"/>
        </w:rPr>
        <w:t>outorga das concessões</w:t>
      </w:r>
      <w:r>
        <w:rPr>
          <w:rFonts w:ascii="Times New Roman" w:eastAsia="Times New Roman" w:hAnsi="Times New Roman"/>
          <w:color w:val="555555"/>
          <w:sz w:val="24"/>
          <w:szCs w:val="24"/>
          <w:lang w:eastAsia="pt-BR"/>
        </w:rPr>
        <w:t xml:space="preserve"> das usinas não renovadas pela </w:t>
      </w:r>
      <w:r w:rsidRPr="00A23A14">
        <w:rPr>
          <w:rFonts w:ascii="Times New Roman" w:eastAsia="Times New Roman" w:hAnsi="Times New Roman"/>
          <w:color w:val="555555"/>
          <w:sz w:val="24"/>
          <w:szCs w:val="24"/>
          <w:lang w:eastAsia="pt-BR"/>
        </w:rPr>
        <w:t xml:space="preserve">Lei 12.783/2013 </w:t>
      </w:r>
      <w:r>
        <w:rPr>
          <w:rFonts w:ascii="Times New Roman" w:eastAsia="Times New Roman" w:hAnsi="Times New Roman"/>
          <w:color w:val="555555"/>
          <w:sz w:val="24"/>
          <w:szCs w:val="24"/>
          <w:lang w:eastAsia="pt-BR"/>
        </w:rPr>
        <w:t xml:space="preserve">como </w:t>
      </w:r>
      <w:r w:rsidRPr="00A23A14">
        <w:rPr>
          <w:rFonts w:ascii="Times New Roman" w:eastAsia="Times New Roman" w:hAnsi="Times New Roman"/>
          <w:color w:val="555555"/>
          <w:sz w:val="24"/>
          <w:szCs w:val="24"/>
          <w:lang w:eastAsia="pt-BR"/>
        </w:rPr>
        <w:t xml:space="preserve">as </w:t>
      </w:r>
      <w:r>
        <w:rPr>
          <w:rFonts w:ascii="Times New Roman" w:eastAsia="Times New Roman" w:hAnsi="Times New Roman"/>
          <w:color w:val="555555"/>
          <w:sz w:val="24"/>
          <w:szCs w:val="24"/>
          <w:lang w:eastAsia="pt-BR"/>
        </w:rPr>
        <w:t xml:space="preserve">da CESP já vendidas para os chineses e as </w:t>
      </w:r>
      <w:r w:rsidRPr="00A23A14">
        <w:rPr>
          <w:rFonts w:ascii="Times New Roman" w:eastAsia="Times New Roman" w:hAnsi="Times New Roman"/>
          <w:color w:val="555555"/>
          <w:sz w:val="24"/>
          <w:szCs w:val="24"/>
          <w:lang w:eastAsia="pt-BR"/>
        </w:rPr>
        <w:t>usinas hidrelétricas de São Simão, Miranda Jaguará e Volta Grande (atualmente operadas p</w:t>
      </w:r>
      <w:r>
        <w:rPr>
          <w:rFonts w:ascii="Times New Roman" w:eastAsia="Times New Roman" w:hAnsi="Times New Roman"/>
          <w:color w:val="555555"/>
          <w:sz w:val="24"/>
          <w:szCs w:val="24"/>
          <w:lang w:eastAsia="pt-BR"/>
        </w:rPr>
        <w:t>ela Cemig).</w:t>
      </w:r>
      <w:r w:rsidRPr="00A23A14">
        <w:rPr>
          <w:rFonts w:ascii="Times New Roman" w:eastAsia="Times New Roman" w:hAnsi="Times New Roman"/>
          <w:color w:val="555555"/>
          <w:sz w:val="24"/>
          <w:szCs w:val="24"/>
          <w:lang w:eastAsia="pt-BR"/>
        </w:rPr>
        <w:t xml:space="preserve"> .</w:t>
      </w:r>
    </w:p>
    <w:p w:rsidR="00EA3F65" w:rsidRDefault="00EA3F65" w:rsidP="00EA3F65">
      <w:pPr>
        <w:pStyle w:val="PargrafodaLista"/>
        <w:rPr>
          <w:rFonts w:ascii="Times New Roman" w:eastAsia="Times New Roman" w:hAnsi="Times New Roman"/>
          <w:b/>
          <w:color w:val="555555"/>
          <w:sz w:val="24"/>
          <w:szCs w:val="24"/>
          <w:lang w:eastAsia="pt-BR"/>
        </w:rPr>
      </w:pPr>
    </w:p>
    <w:p w:rsidR="00EA3F65" w:rsidRDefault="00EA3F65" w:rsidP="00EA3F65">
      <w:pPr>
        <w:pStyle w:val="PargrafodaLista"/>
        <w:rPr>
          <w:rFonts w:ascii="Times New Roman" w:eastAsia="Times New Roman" w:hAnsi="Times New Roman"/>
          <w:b/>
          <w:color w:val="555555"/>
          <w:sz w:val="24"/>
          <w:szCs w:val="24"/>
          <w:lang w:eastAsia="pt-BR"/>
        </w:rPr>
      </w:pPr>
      <w:r>
        <w:rPr>
          <w:rFonts w:ascii="Times New Roman" w:eastAsia="Times New Roman" w:hAnsi="Times New Roman"/>
          <w:b/>
          <w:color w:val="555555"/>
          <w:sz w:val="24"/>
          <w:szCs w:val="24"/>
          <w:lang w:eastAsia="pt-BR"/>
        </w:rPr>
        <w:t xml:space="preserve">    3.2- </w:t>
      </w:r>
      <w:r w:rsidRPr="00013080">
        <w:rPr>
          <w:rFonts w:ascii="Times New Roman" w:eastAsia="Times New Roman" w:hAnsi="Times New Roman"/>
          <w:b/>
          <w:color w:val="555555"/>
          <w:sz w:val="24"/>
          <w:szCs w:val="24"/>
          <w:lang w:eastAsia="pt-BR"/>
        </w:rPr>
        <w:t xml:space="preserve"> Lei 13.360/2016</w:t>
      </w:r>
      <w:r>
        <w:rPr>
          <w:rFonts w:ascii="Times New Roman" w:eastAsia="Times New Roman" w:hAnsi="Times New Roman"/>
          <w:b/>
          <w:color w:val="555555"/>
          <w:sz w:val="24"/>
          <w:szCs w:val="24"/>
          <w:lang w:eastAsia="pt-BR"/>
        </w:rPr>
        <w:t xml:space="preserve">, </w:t>
      </w:r>
      <w:r w:rsidRPr="00413ECE">
        <w:rPr>
          <w:rFonts w:ascii="Times New Roman" w:eastAsia="Times New Roman" w:hAnsi="Times New Roman"/>
          <w:color w:val="555555"/>
          <w:sz w:val="24"/>
          <w:szCs w:val="24"/>
          <w:lang w:eastAsia="pt-BR"/>
        </w:rPr>
        <w:t>que tem as seguintes características</w:t>
      </w:r>
      <w:r>
        <w:rPr>
          <w:rFonts w:ascii="Times New Roman" w:eastAsia="Times New Roman" w:hAnsi="Times New Roman"/>
          <w:b/>
          <w:color w:val="555555"/>
          <w:sz w:val="24"/>
          <w:szCs w:val="24"/>
          <w:lang w:eastAsia="pt-BR"/>
        </w:rPr>
        <w:t>:</w:t>
      </w:r>
    </w:p>
    <w:p w:rsidR="00EA3F65" w:rsidRDefault="00EA3F65" w:rsidP="00EA3F65">
      <w:pPr>
        <w:pStyle w:val="PargrafodaLista"/>
        <w:ind w:firstLine="840"/>
        <w:jc w:val="both"/>
        <w:rPr>
          <w:rFonts w:ascii="Times New Roman" w:eastAsia="Times New Roman" w:hAnsi="Times New Roman"/>
          <w:b/>
          <w:color w:val="555555"/>
          <w:sz w:val="24"/>
          <w:szCs w:val="24"/>
          <w:lang w:eastAsia="pt-BR"/>
        </w:rPr>
      </w:pPr>
    </w:p>
    <w:p w:rsidR="00EA3F65" w:rsidRPr="00013080"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sidRPr="00013080">
        <w:rPr>
          <w:rFonts w:ascii="Times New Roman" w:eastAsia="Times New Roman" w:hAnsi="Times New Roman"/>
          <w:color w:val="555555"/>
          <w:sz w:val="24"/>
          <w:szCs w:val="24"/>
          <w:lang w:eastAsia="pt-BR"/>
        </w:rPr>
        <w:t xml:space="preserve">permite “que a União licite as concessões de geração, transmissão e distribuição de energia elétrica, alcançadas pela Lei nº 12.783, de 2012, junto com a transferência do controle acionário da concessionária controlada direta ou indiretamente pela União; permite também que se transfira o controle societário da concessionária, como opção à caducidade da concessão; </w:t>
      </w:r>
    </w:p>
    <w:p w:rsidR="00EA3F65" w:rsidRPr="00D10913"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a</w:t>
      </w:r>
      <w:r w:rsidRPr="00D10913">
        <w:rPr>
          <w:rFonts w:ascii="Times New Roman" w:eastAsia="Times New Roman" w:hAnsi="Times New Roman"/>
          <w:color w:val="555555"/>
          <w:sz w:val="24"/>
          <w:szCs w:val="24"/>
          <w:lang w:eastAsia="pt-BR"/>
        </w:rPr>
        <w:t>ltera o Programa Nacional de Desestatização (PND - Lei 9.491 de 1997); as regras para a renovação das concessões (Lei 12.783 de 2013);</w:t>
      </w:r>
      <w:r>
        <w:rPr>
          <w:rFonts w:ascii="Times New Roman" w:eastAsia="Times New Roman" w:hAnsi="Times New Roman"/>
          <w:color w:val="555555"/>
          <w:sz w:val="24"/>
          <w:szCs w:val="24"/>
          <w:lang w:eastAsia="pt-BR"/>
        </w:rPr>
        <w:t xml:space="preserve"> a</w:t>
      </w:r>
      <w:r w:rsidRPr="00D10913">
        <w:rPr>
          <w:rFonts w:ascii="Times New Roman" w:eastAsia="Times New Roman" w:hAnsi="Times New Roman"/>
          <w:color w:val="555555"/>
          <w:sz w:val="24"/>
          <w:szCs w:val="24"/>
          <w:lang w:eastAsia="pt-BR"/>
        </w:rPr>
        <w:t xml:space="preserve"> gestão e administração dos fundos setoriais (Lei 10.438 de 2002)</w:t>
      </w:r>
      <w:r>
        <w:rPr>
          <w:rFonts w:ascii="Times New Roman" w:eastAsia="Times New Roman" w:hAnsi="Times New Roman"/>
          <w:color w:val="555555"/>
          <w:sz w:val="24"/>
          <w:szCs w:val="24"/>
          <w:lang w:eastAsia="pt-BR"/>
        </w:rPr>
        <w:t>;</w:t>
      </w:r>
      <w:r w:rsidRPr="00D10913">
        <w:rPr>
          <w:rFonts w:ascii="Times New Roman" w:eastAsia="Times New Roman" w:hAnsi="Times New Roman"/>
          <w:color w:val="555555"/>
          <w:sz w:val="24"/>
          <w:szCs w:val="24"/>
          <w:lang w:eastAsia="pt-BR"/>
        </w:rPr>
        <w:t xml:space="preserve"> e</w:t>
      </w:r>
    </w:p>
    <w:p w:rsidR="00EA3F65"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t</w:t>
      </w:r>
      <w:r w:rsidRPr="00EF5928">
        <w:rPr>
          <w:rFonts w:ascii="Times New Roman" w:eastAsia="Times New Roman" w:hAnsi="Times New Roman"/>
          <w:color w:val="555555"/>
          <w:sz w:val="24"/>
          <w:szCs w:val="24"/>
          <w:lang w:eastAsia="pt-BR"/>
        </w:rPr>
        <w:t>ransfere o controle/gestão de encargos setoriais</w:t>
      </w:r>
      <w:r>
        <w:rPr>
          <w:rStyle w:val="Refdenotaderodap"/>
          <w:rFonts w:ascii="Times New Roman" w:eastAsia="Times New Roman" w:hAnsi="Times New Roman"/>
          <w:color w:val="555555"/>
          <w:sz w:val="24"/>
          <w:szCs w:val="24"/>
          <w:lang w:eastAsia="pt-BR"/>
        </w:rPr>
        <w:footnoteReference w:id="3"/>
      </w:r>
      <w:r w:rsidRPr="00EF5928">
        <w:rPr>
          <w:rFonts w:ascii="Times New Roman" w:eastAsia="Times New Roman" w:hAnsi="Times New Roman"/>
          <w:color w:val="555555"/>
          <w:sz w:val="24"/>
          <w:szCs w:val="24"/>
          <w:lang w:eastAsia="pt-BR"/>
        </w:rPr>
        <w:t xml:space="preserve"> (Conta de Desenvolvimento Energético - CDE, Conta de Consumo de Combustíveis - CCC, e Reserva Global de Reversão - RGR) da União (grupo Eletrobrás) para a Câmara de Comercialização de Energia Elétrica (CCEE), uma associação civil mantida pelo conjunto dos agentes que atuam no mercado de compra e venda de ener</w:t>
      </w:r>
      <w:r>
        <w:rPr>
          <w:rFonts w:ascii="Times New Roman" w:eastAsia="Times New Roman" w:hAnsi="Times New Roman"/>
          <w:color w:val="555555"/>
          <w:sz w:val="24"/>
          <w:szCs w:val="24"/>
          <w:lang w:eastAsia="pt-BR"/>
        </w:rPr>
        <w:t>gia</w:t>
      </w:r>
      <w:r w:rsidRPr="00EF5928">
        <w:rPr>
          <w:rFonts w:ascii="Times New Roman" w:eastAsia="Times New Roman" w:hAnsi="Times New Roman"/>
          <w:color w:val="555555"/>
          <w:sz w:val="24"/>
          <w:szCs w:val="24"/>
          <w:lang w:eastAsia="pt-BR"/>
        </w:rPr>
        <w:t xml:space="preserve">. </w:t>
      </w:r>
    </w:p>
    <w:p w:rsidR="00EA3F65" w:rsidRDefault="00EA3F65" w:rsidP="00EA3F65">
      <w:pPr>
        <w:pStyle w:val="PargrafodaLista"/>
        <w:rPr>
          <w:rFonts w:ascii="Times New Roman" w:eastAsia="Times New Roman" w:hAnsi="Times New Roman"/>
          <w:b/>
          <w:color w:val="555555"/>
          <w:sz w:val="24"/>
          <w:szCs w:val="24"/>
          <w:lang w:eastAsia="pt-BR"/>
        </w:rPr>
      </w:pPr>
    </w:p>
    <w:p w:rsidR="00EA3F65" w:rsidRDefault="00EA3F65" w:rsidP="00EA3F65">
      <w:pPr>
        <w:pStyle w:val="PargrafodaLista"/>
        <w:rPr>
          <w:rFonts w:ascii="Times New Roman" w:eastAsia="Times New Roman" w:hAnsi="Times New Roman"/>
          <w:b/>
          <w:color w:val="555555"/>
          <w:sz w:val="24"/>
          <w:szCs w:val="24"/>
          <w:lang w:eastAsia="pt-BR"/>
        </w:rPr>
      </w:pPr>
      <w:r w:rsidRPr="00601F39">
        <w:rPr>
          <w:rFonts w:ascii="Times New Roman" w:eastAsia="Times New Roman" w:hAnsi="Times New Roman"/>
          <w:b/>
          <w:color w:val="555555"/>
          <w:sz w:val="24"/>
          <w:szCs w:val="24"/>
          <w:lang w:eastAsia="pt-BR"/>
        </w:rPr>
        <w:t>3.</w:t>
      </w:r>
      <w:r>
        <w:rPr>
          <w:rFonts w:ascii="Times New Roman" w:eastAsia="Times New Roman" w:hAnsi="Times New Roman"/>
          <w:b/>
          <w:color w:val="555555"/>
          <w:sz w:val="24"/>
          <w:szCs w:val="24"/>
          <w:lang w:eastAsia="pt-BR"/>
        </w:rPr>
        <w:t>3-</w:t>
      </w:r>
      <w:r w:rsidRPr="00601F39">
        <w:rPr>
          <w:rFonts w:ascii="Times New Roman" w:eastAsia="Times New Roman" w:hAnsi="Times New Roman"/>
          <w:b/>
          <w:color w:val="555555"/>
          <w:sz w:val="24"/>
          <w:szCs w:val="24"/>
          <w:lang w:eastAsia="pt-BR"/>
        </w:rPr>
        <w:t>Nota Técnica 05/2017-</w:t>
      </w:r>
      <w:r>
        <w:rPr>
          <w:rFonts w:ascii="Times New Roman" w:eastAsia="Times New Roman" w:hAnsi="Times New Roman"/>
          <w:b/>
          <w:color w:val="555555"/>
          <w:sz w:val="24"/>
          <w:szCs w:val="24"/>
          <w:lang w:eastAsia="pt-BR"/>
        </w:rPr>
        <w:t>MME</w:t>
      </w:r>
    </w:p>
    <w:p w:rsidR="00EA3F65" w:rsidRPr="00D10913" w:rsidRDefault="00EA3F65" w:rsidP="00EA3F65">
      <w:pPr>
        <w:pStyle w:val="PargrafodaLista"/>
        <w:rPr>
          <w:rFonts w:ascii="Times New Roman" w:eastAsia="Times New Roman" w:hAnsi="Times New Roman"/>
          <w:b/>
          <w:color w:val="555555"/>
          <w:sz w:val="24"/>
          <w:szCs w:val="24"/>
          <w:lang w:eastAsia="pt-BR"/>
        </w:rPr>
      </w:pP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A nota está</w:t>
      </w:r>
      <w:r w:rsidRPr="00601F39">
        <w:rPr>
          <w:rFonts w:ascii="Times New Roman" w:eastAsia="Times New Roman" w:hAnsi="Times New Roman"/>
          <w:color w:val="555555"/>
          <w:sz w:val="24"/>
          <w:szCs w:val="24"/>
          <w:lang w:eastAsia="pt-BR"/>
        </w:rPr>
        <w:t xml:space="preserve"> em consulta pública,</w:t>
      </w:r>
      <w:r>
        <w:rPr>
          <w:rFonts w:ascii="Times New Roman" w:eastAsia="Times New Roman" w:hAnsi="Times New Roman"/>
          <w:color w:val="555555"/>
          <w:sz w:val="24"/>
          <w:szCs w:val="24"/>
          <w:lang w:eastAsia="pt-BR"/>
        </w:rPr>
        <w:t xml:space="preserve"> mas caracteriza-se por ser a mais agressiva tentativa, de transferir os recursos energéticos para o mercado com a consequente elevação do preço da energia no país. Tem como principais modificações:</w:t>
      </w:r>
    </w:p>
    <w:p w:rsidR="00EA3F65" w:rsidRPr="00315C4A"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Descotização - d</w:t>
      </w:r>
      <w:r w:rsidRPr="00315C4A">
        <w:rPr>
          <w:rFonts w:ascii="Times New Roman" w:eastAsia="Times New Roman" w:hAnsi="Times New Roman"/>
          <w:color w:val="555555"/>
          <w:sz w:val="24"/>
          <w:szCs w:val="24"/>
          <w:lang w:eastAsia="pt-BR"/>
        </w:rPr>
        <w:t xml:space="preserve">escontrata a energia das usinas já amortizadas, </w:t>
      </w:r>
      <w:r>
        <w:rPr>
          <w:rFonts w:ascii="Times New Roman" w:eastAsia="Times New Roman" w:hAnsi="Times New Roman"/>
          <w:color w:val="555555"/>
          <w:sz w:val="24"/>
          <w:szCs w:val="24"/>
          <w:lang w:eastAsia="pt-BR"/>
        </w:rPr>
        <w:t xml:space="preserve">já alocadas às distribuidoras na forma de cotas, </w:t>
      </w:r>
      <w:r w:rsidRPr="00315C4A">
        <w:rPr>
          <w:rFonts w:ascii="Times New Roman" w:eastAsia="Times New Roman" w:hAnsi="Times New Roman"/>
          <w:color w:val="555555"/>
          <w:sz w:val="24"/>
          <w:szCs w:val="24"/>
          <w:lang w:eastAsia="pt-BR"/>
        </w:rPr>
        <w:t>transfere para os geradores e vende para o mercado pelo maior preço</w:t>
      </w:r>
      <w:r>
        <w:rPr>
          <w:rFonts w:ascii="Times New Roman" w:eastAsia="Times New Roman" w:hAnsi="Times New Roman"/>
          <w:color w:val="555555"/>
          <w:sz w:val="24"/>
          <w:szCs w:val="24"/>
          <w:lang w:eastAsia="pt-BR"/>
        </w:rPr>
        <w:t xml:space="preserve"> com o resultado da venda indo cobrir déficit do Tesouro, às custas do aumento da tarifa dos consumidores.</w:t>
      </w:r>
    </w:p>
    <w:p w:rsidR="00EA3F65" w:rsidRPr="00315C4A"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sidRPr="00315C4A">
        <w:rPr>
          <w:rFonts w:ascii="Times New Roman" w:eastAsia="Times New Roman" w:hAnsi="Times New Roman"/>
          <w:color w:val="555555"/>
          <w:sz w:val="24"/>
          <w:szCs w:val="24"/>
          <w:lang w:eastAsia="pt-BR"/>
        </w:rPr>
        <w:t>Aumento da auto regulação (regulação de mercado) em toda cadeia, inclusive no atendimento aos consumidores regulados;</w:t>
      </w:r>
    </w:p>
    <w:p w:rsidR="00EA3F65" w:rsidRPr="00315C4A"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sidRPr="00315C4A">
        <w:rPr>
          <w:rFonts w:ascii="Times New Roman" w:eastAsia="Times New Roman" w:hAnsi="Times New Roman"/>
          <w:color w:val="555555"/>
          <w:sz w:val="24"/>
          <w:szCs w:val="24"/>
          <w:lang w:eastAsia="pt-BR"/>
        </w:rPr>
        <w:t>Tende a extinguir com a distinção entre energia nova e velha;</w:t>
      </w:r>
    </w:p>
    <w:p w:rsidR="00EA3F65" w:rsidRPr="00315C4A"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sidRPr="00315C4A">
        <w:rPr>
          <w:rFonts w:ascii="Times New Roman" w:eastAsia="Times New Roman" w:hAnsi="Times New Roman"/>
          <w:color w:val="555555"/>
          <w:sz w:val="24"/>
          <w:szCs w:val="24"/>
          <w:lang w:eastAsia="pt-BR"/>
        </w:rPr>
        <w:t>Separa a contratação do lastro e da energia</w:t>
      </w:r>
      <w:r>
        <w:rPr>
          <w:rFonts w:ascii="Times New Roman" w:eastAsia="Times New Roman" w:hAnsi="Times New Roman"/>
          <w:color w:val="555555"/>
          <w:sz w:val="24"/>
          <w:szCs w:val="24"/>
          <w:lang w:eastAsia="pt-BR"/>
        </w:rPr>
        <w:t xml:space="preserve"> o que em um país com as nossas características elevará o preço da energia pelo controle do mercado além de praticamente inviabilizar o financiamento da expansão do setor</w:t>
      </w:r>
      <w:r w:rsidRPr="00315C4A">
        <w:rPr>
          <w:rFonts w:ascii="Times New Roman" w:eastAsia="Times New Roman" w:hAnsi="Times New Roman"/>
          <w:color w:val="555555"/>
          <w:sz w:val="24"/>
          <w:szCs w:val="24"/>
          <w:lang w:eastAsia="pt-BR"/>
        </w:rPr>
        <w:t>;</w:t>
      </w:r>
    </w:p>
    <w:p w:rsidR="00EA3F65" w:rsidRPr="00315C4A"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sidRPr="00315C4A">
        <w:rPr>
          <w:rFonts w:ascii="Times New Roman" w:eastAsia="Times New Roman" w:hAnsi="Times New Roman"/>
          <w:color w:val="555555"/>
          <w:sz w:val="24"/>
          <w:szCs w:val="24"/>
          <w:lang w:eastAsia="pt-BR"/>
        </w:rPr>
        <w:lastRenderedPageBreak/>
        <w:t>Aumenta gradativamente o universo de consumidores livres</w:t>
      </w:r>
      <w:r>
        <w:rPr>
          <w:rFonts w:ascii="Times New Roman" w:eastAsia="Times New Roman" w:hAnsi="Times New Roman"/>
          <w:color w:val="555555"/>
          <w:sz w:val="24"/>
          <w:szCs w:val="24"/>
          <w:lang w:eastAsia="pt-BR"/>
        </w:rPr>
        <w:t>, reduzindo o limite de d</w:t>
      </w:r>
      <w:r w:rsidRPr="00315C4A">
        <w:rPr>
          <w:rFonts w:ascii="Times New Roman" w:eastAsia="Times New Roman" w:hAnsi="Times New Roman"/>
          <w:color w:val="555555"/>
          <w:sz w:val="24"/>
          <w:szCs w:val="24"/>
          <w:lang w:eastAsia="pt-BR"/>
        </w:rPr>
        <w:t>e 3000</w:t>
      </w:r>
      <w:r>
        <w:rPr>
          <w:rFonts w:ascii="Times New Roman" w:eastAsia="Times New Roman" w:hAnsi="Times New Roman"/>
          <w:color w:val="555555"/>
          <w:sz w:val="24"/>
          <w:szCs w:val="24"/>
          <w:lang w:eastAsia="pt-BR"/>
        </w:rPr>
        <w:t xml:space="preserve"> </w:t>
      </w:r>
      <w:r w:rsidRPr="00315C4A">
        <w:rPr>
          <w:rFonts w:ascii="Times New Roman" w:eastAsia="Times New Roman" w:hAnsi="Times New Roman"/>
          <w:color w:val="555555"/>
          <w:sz w:val="24"/>
          <w:szCs w:val="24"/>
          <w:lang w:eastAsia="pt-BR"/>
        </w:rPr>
        <w:t>K</w:t>
      </w:r>
      <w:r>
        <w:rPr>
          <w:rFonts w:ascii="Times New Roman" w:eastAsia="Times New Roman" w:hAnsi="Times New Roman"/>
          <w:color w:val="555555"/>
          <w:sz w:val="24"/>
          <w:szCs w:val="24"/>
          <w:lang w:eastAsia="pt-BR"/>
        </w:rPr>
        <w:t>W</w:t>
      </w:r>
      <w:r w:rsidRPr="00315C4A">
        <w:rPr>
          <w:rFonts w:ascii="Times New Roman" w:eastAsia="Times New Roman" w:hAnsi="Times New Roman"/>
          <w:color w:val="555555"/>
          <w:sz w:val="24"/>
          <w:szCs w:val="24"/>
          <w:lang w:eastAsia="pt-BR"/>
        </w:rPr>
        <w:t xml:space="preserve"> hoje para 75K</w:t>
      </w:r>
      <w:r>
        <w:rPr>
          <w:rFonts w:ascii="Times New Roman" w:eastAsia="Times New Roman" w:hAnsi="Times New Roman"/>
          <w:color w:val="555555"/>
          <w:sz w:val="24"/>
          <w:szCs w:val="24"/>
          <w:lang w:eastAsia="pt-BR"/>
        </w:rPr>
        <w:t>W</w:t>
      </w:r>
      <w:r w:rsidRPr="00315C4A">
        <w:rPr>
          <w:rFonts w:ascii="Times New Roman" w:eastAsia="Times New Roman" w:hAnsi="Times New Roman"/>
          <w:color w:val="555555"/>
          <w:sz w:val="24"/>
          <w:szCs w:val="24"/>
          <w:lang w:eastAsia="pt-BR"/>
        </w:rPr>
        <w:t>;</w:t>
      </w:r>
    </w:p>
    <w:p w:rsidR="00EA3F65"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sidRPr="00315C4A">
        <w:rPr>
          <w:rFonts w:ascii="Times New Roman" w:eastAsia="Times New Roman" w:hAnsi="Times New Roman"/>
          <w:color w:val="555555"/>
          <w:sz w:val="24"/>
          <w:szCs w:val="24"/>
          <w:lang w:eastAsia="pt-BR"/>
        </w:rPr>
        <w:t>Prevê possibilidade de tarifas em base horária</w:t>
      </w:r>
      <w:r>
        <w:rPr>
          <w:rFonts w:ascii="Times New Roman" w:eastAsia="Times New Roman" w:hAnsi="Times New Roman"/>
          <w:color w:val="555555"/>
          <w:sz w:val="24"/>
          <w:szCs w:val="24"/>
          <w:lang w:eastAsia="pt-BR"/>
        </w:rPr>
        <w:t xml:space="preserve"> (hoje é anual)</w:t>
      </w:r>
      <w:r w:rsidRPr="00315C4A">
        <w:rPr>
          <w:rFonts w:ascii="Times New Roman" w:eastAsia="Times New Roman" w:hAnsi="Times New Roman"/>
          <w:color w:val="555555"/>
          <w:sz w:val="24"/>
          <w:szCs w:val="24"/>
          <w:lang w:eastAsia="pt-BR"/>
        </w:rPr>
        <w:t>.</w:t>
      </w:r>
    </w:p>
    <w:p w:rsidR="00EA3F65" w:rsidRPr="00315C4A" w:rsidRDefault="00EA3F65" w:rsidP="00EA3F65">
      <w:pPr>
        <w:pStyle w:val="PargrafodaLista"/>
        <w:numPr>
          <w:ilvl w:val="0"/>
          <w:numId w:val="4"/>
        </w:numPr>
        <w:jc w:val="both"/>
        <w:rPr>
          <w:rFonts w:ascii="Times New Roman" w:eastAsia="Times New Roman" w:hAnsi="Times New Roman"/>
          <w:color w:val="555555"/>
          <w:sz w:val="24"/>
          <w:szCs w:val="24"/>
          <w:lang w:eastAsia="pt-BR"/>
        </w:rPr>
      </w:pPr>
      <w:r>
        <w:rPr>
          <w:rFonts w:ascii="Times New Roman" w:eastAsia="Times New Roman" w:hAnsi="Times New Roman"/>
          <w:color w:val="555555"/>
          <w:sz w:val="24"/>
          <w:szCs w:val="24"/>
          <w:lang w:eastAsia="pt-BR"/>
        </w:rPr>
        <w:t xml:space="preserve">Tudo baseado em uma teoria geral de regulação econômica e sem considerar os parâmetros colocados nesta mesma teoria para que tais transformações possam ter algum efeito positivo. </w:t>
      </w:r>
    </w:p>
    <w:p w:rsidR="00EA3F65" w:rsidRPr="00315C4A"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601F39"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E01207" w:rsidRDefault="00EA3F65" w:rsidP="00EA3F65">
      <w:pPr>
        <w:pStyle w:val="PargrafodaLista"/>
        <w:ind w:hanging="11"/>
        <w:jc w:val="both"/>
        <w:rPr>
          <w:rFonts w:ascii="Times New Roman" w:eastAsia="Times New Roman" w:hAnsi="Times New Roman"/>
          <w:b/>
          <w:color w:val="555555"/>
          <w:sz w:val="24"/>
          <w:szCs w:val="24"/>
          <w:lang w:eastAsia="pt-BR"/>
        </w:rPr>
      </w:pPr>
      <w:r>
        <w:rPr>
          <w:rFonts w:ascii="Times New Roman" w:eastAsia="Times New Roman" w:hAnsi="Times New Roman"/>
          <w:b/>
          <w:color w:val="555555"/>
          <w:sz w:val="24"/>
          <w:szCs w:val="24"/>
          <w:lang w:eastAsia="pt-BR"/>
        </w:rPr>
        <w:t xml:space="preserve">A PRIVATIZAÇÃO DAS EMPRESAS ESTATAIS </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8D0C2E">
        <w:rPr>
          <w:rFonts w:ascii="Times New Roman" w:eastAsia="Times New Roman" w:hAnsi="Times New Roman"/>
          <w:color w:val="555555"/>
          <w:sz w:val="24"/>
          <w:szCs w:val="24"/>
          <w:lang w:eastAsia="pt-BR"/>
        </w:rPr>
        <w:t>As empresas estatais (federais e estaduais) representam cerca de 40% da capacidade de geração, 65% das linhas de transmissão e 25% do mercado de distribuição nacional</w:t>
      </w:r>
      <w:r>
        <w:rPr>
          <w:rFonts w:ascii="Times New Roman" w:eastAsia="Times New Roman" w:hAnsi="Times New Roman"/>
          <w:color w:val="555555"/>
          <w:sz w:val="24"/>
          <w:szCs w:val="24"/>
          <w:lang w:eastAsia="pt-BR"/>
        </w:rPr>
        <w:t>.</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8D0C2E">
        <w:rPr>
          <w:rFonts w:ascii="Times New Roman" w:eastAsia="Times New Roman" w:hAnsi="Times New Roman"/>
          <w:color w:val="555555"/>
          <w:sz w:val="24"/>
          <w:szCs w:val="24"/>
          <w:lang w:eastAsia="pt-BR"/>
        </w:rPr>
        <w:t xml:space="preserve"> O anúncio do novo governo federal do retorno da política de privatizações no setor, com a venda de empresas do grupo Eletrobrás e de distribuidoras estaduais poderá acabar com o protagonismo estatal no setor, deixando a matriz elétrica sob controle de </w:t>
      </w:r>
      <w:r>
        <w:rPr>
          <w:rFonts w:ascii="Times New Roman" w:eastAsia="Times New Roman" w:hAnsi="Times New Roman"/>
          <w:color w:val="555555"/>
          <w:sz w:val="24"/>
          <w:szCs w:val="24"/>
          <w:lang w:eastAsia="pt-BR"/>
        </w:rPr>
        <w:t xml:space="preserve">poucas </w:t>
      </w:r>
      <w:r w:rsidRPr="008D0C2E">
        <w:rPr>
          <w:rFonts w:ascii="Times New Roman" w:eastAsia="Times New Roman" w:hAnsi="Times New Roman"/>
          <w:color w:val="555555"/>
          <w:sz w:val="24"/>
          <w:szCs w:val="24"/>
          <w:lang w:eastAsia="pt-BR"/>
        </w:rPr>
        <w:t>empresas estrangeiras, estatais e privadas, que têm aumentado a participação no setor no país.</w:t>
      </w:r>
      <w:r>
        <w:rPr>
          <w:rFonts w:ascii="Times New Roman" w:eastAsia="Times New Roman" w:hAnsi="Times New Roman"/>
          <w:color w:val="555555"/>
          <w:sz w:val="24"/>
          <w:szCs w:val="24"/>
          <w:lang w:eastAsia="pt-BR"/>
        </w:rPr>
        <w:t xml:space="preserve"> </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8D0C2E">
        <w:rPr>
          <w:rFonts w:ascii="Times New Roman" w:eastAsia="Times New Roman" w:hAnsi="Times New Roman"/>
          <w:color w:val="555555"/>
          <w:sz w:val="24"/>
          <w:szCs w:val="24"/>
          <w:lang w:eastAsia="pt-BR"/>
        </w:rPr>
        <w:t xml:space="preserve"> O processo de desnacionalização tem consequências setoriais, mas também implicações macroeconômicas importantes como, por exemplo, impactos nas contas externas do país. O processo de privatização costuma, também, ser peça-chave de programas de ajuste fiscal</w:t>
      </w:r>
      <w:r>
        <w:rPr>
          <w:rFonts w:ascii="Times New Roman" w:eastAsia="Times New Roman" w:hAnsi="Times New Roman"/>
          <w:color w:val="555555"/>
          <w:sz w:val="24"/>
          <w:szCs w:val="24"/>
          <w:lang w:eastAsia="pt-BR"/>
        </w:rPr>
        <w:t>.</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990DBD">
        <w:rPr>
          <w:rFonts w:ascii="Times New Roman" w:eastAsia="Times New Roman" w:hAnsi="Times New Roman"/>
          <w:color w:val="555555"/>
          <w:sz w:val="24"/>
          <w:szCs w:val="24"/>
          <w:lang w:eastAsia="pt-BR"/>
        </w:rPr>
        <w:t>Recentemente, a Austrália, os Estados Unidos e a Alemanha barraram investimentos</w:t>
      </w:r>
      <w:r>
        <w:rPr>
          <w:rFonts w:ascii="Times New Roman" w:eastAsia="Times New Roman" w:hAnsi="Times New Roman"/>
          <w:color w:val="555555"/>
          <w:sz w:val="24"/>
          <w:szCs w:val="24"/>
          <w:lang w:eastAsia="pt-BR"/>
        </w:rPr>
        <w:t xml:space="preserve"> </w:t>
      </w:r>
      <w:r w:rsidRPr="00990DBD">
        <w:rPr>
          <w:rFonts w:ascii="Times New Roman" w:eastAsia="Times New Roman" w:hAnsi="Times New Roman"/>
          <w:color w:val="555555"/>
          <w:sz w:val="24"/>
          <w:szCs w:val="24"/>
          <w:lang w:eastAsia="pt-BR"/>
        </w:rPr>
        <w:t>chineses da ordem de US$ 38,9 bilhões no setor de energia e em outros, alegando questões de segurança nacional (VALOR ECONÔMICO, 25/10/2016).</w:t>
      </w:r>
      <w:r>
        <w:rPr>
          <w:rFonts w:ascii="Times New Roman" w:eastAsia="Times New Roman" w:hAnsi="Times New Roman"/>
          <w:color w:val="555555"/>
          <w:sz w:val="24"/>
          <w:szCs w:val="24"/>
          <w:lang w:eastAsia="pt-BR"/>
        </w:rPr>
        <w:t xml:space="preserve"> </w:t>
      </w:r>
      <w:r w:rsidRPr="00990DBD">
        <w:rPr>
          <w:rFonts w:ascii="Times New Roman" w:eastAsia="Times New Roman" w:hAnsi="Times New Roman"/>
          <w:color w:val="555555"/>
          <w:sz w:val="24"/>
          <w:szCs w:val="24"/>
          <w:lang w:eastAsia="pt-BR"/>
        </w:rPr>
        <w:t xml:space="preserve">A Austrália bloqueou ofertas da estatal chinesa </w:t>
      </w:r>
      <w:r>
        <w:rPr>
          <w:rFonts w:ascii="Times New Roman" w:eastAsia="Times New Roman" w:hAnsi="Times New Roman"/>
          <w:color w:val="555555"/>
          <w:sz w:val="24"/>
          <w:szCs w:val="24"/>
          <w:lang w:eastAsia="pt-BR"/>
        </w:rPr>
        <w:t>“</w:t>
      </w:r>
      <w:r w:rsidRPr="00990DBD">
        <w:rPr>
          <w:rFonts w:ascii="Times New Roman" w:eastAsia="Times New Roman" w:hAnsi="Times New Roman"/>
          <w:color w:val="555555"/>
          <w:sz w:val="24"/>
          <w:szCs w:val="24"/>
          <w:lang w:eastAsia="pt-BR"/>
        </w:rPr>
        <w:t>State Grid</w:t>
      </w:r>
      <w:r>
        <w:rPr>
          <w:rFonts w:ascii="Times New Roman" w:eastAsia="Times New Roman" w:hAnsi="Times New Roman"/>
          <w:color w:val="555555"/>
          <w:sz w:val="24"/>
          <w:szCs w:val="24"/>
          <w:lang w:eastAsia="pt-BR"/>
        </w:rPr>
        <w:t>”</w:t>
      </w:r>
      <w:r w:rsidRPr="00990DBD">
        <w:rPr>
          <w:rFonts w:ascii="Times New Roman" w:eastAsia="Times New Roman" w:hAnsi="Times New Roman"/>
          <w:color w:val="555555"/>
          <w:sz w:val="24"/>
          <w:szCs w:val="24"/>
          <w:lang w:eastAsia="pt-BR"/>
        </w:rPr>
        <w:t xml:space="preserve"> para comprar uma participação na maior concessi</w:t>
      </w:r>
      <w:r>
        <w:rPr>
          <w:rFonts w:ascii="Times New Roman" w:eastAsia="Times New Roman" w:hAnsi="Times New Roman"/>
          <w:color w:val="555555"/>
          <w:sz w:val="24"/>
          <w:szCs w:val="24"/>
          <w:lang w:eastAsia="pt-BR"/>
        </w:rPr>
        <w:t>onária de energia elétrica do país, a estatal “Ausgrid” (VALOR ECONÔMICO, 12/08/2026).</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6C555A">
        <w:rPr>
          <w:rFonts w:ascii="Times New Roman" w:eastAsia="Times New Roman" w:hAnsi="Times New Roman"/>
          <w:color w:val="555555"/>
          <w:sz w:val="24"/>
          <w:szCs w:val="24"/>
          <w:lang w:eastAsia="pt-BR"/>
        </w:rPr>
        <w:t>A política de privatização coloca em cheque o protagonismo nacional no planejamento e</w:t>
      </w:r>
      <w:r>
        <w:rPr>
          <w:rFonts w:ascii="Times New Roman" w:eastAsia="Times New Roman" w:hAnsi="Times New Roman"/>
          <w:color w:val="555555"/>
          <w:sz w:val="24"/>
          <w:szCs w:val="24"/>
          <w:lang w:eastAsia="pt-BR"/>
        </w:rPr>
        <w:t xml:space="preserve"> </w:t>
      </w:r>
      <w:r w:rsidRPr="006C555A">
        <w:rPr>
          <w:rFonts w:ascii="Times New Roman" w:eastAsia="Times New Roman" w:hAnsi="Times New Roman"/>
          <w:color w:val="555555"/>
          <w:sz w:val="24"/>
          <w:szCs w:val="24"/>
          <w:lang w:eastAsia="pt-BR"/>
        </w:rPr>
        <w:t>na operação da matriz elétrica brasileira. Nesse caso, há ainda forte indicativo de que os grupos</w:t>
      </w:r>
      <w:r>
        <w:rPr>
          <w:rFonts w:ascii="Times New Roman" w:eastAsia="Times New Roman" w:hAnsi="Times New Roman"/>
          <w:color w:val="555555"/>
          <w:sz w:val="24"/>
          <w:szCs w:val="24"/>
          <w:lang w:eastAsia="pt-BR"/>
        </w:rPr>
        <w:t xml:space="preserve"> </w:t>
      </w:r>
      <w:r w:rsidRPr="006C555A">
        <w:rPr>
          <w:rFonts w:ascii="Times New Roman" w:eastAsia="Times New Roman" w:hAnsi="Times New Roman"/>
          <w:color w:val="555555"/>
          <w:sz w:val="24"/>
          <w:szCs w:val="24"/>
          <w:lang w:eastAsia="pt-BR"/>
        </w:rPr>
        <w:t xml:space="preserve">estatais chineses China </w:t>
      </w:r>
      <w:r>
        <w:rPr>
          <w:rFonts w:ascii="Times New Roman" w:eastAsia="Times New Roman" w:hAnsi="Times New Roman"/>
          <w:color w:val="555555"/>
          <w:sz w:val="24"/>
          <w:szCs w:val="24"/>
          <w:lang w:eastAsia="pt-BR"/>
        </w:rPr>
        <w:t>“</w:t>
      </w:r>
      <w:r w:rsidRPr="006C555A">
        <w:rPr>
          <w:rFonts w:ascii="Times New Roman" w:eastAsia="Times New Roman" w:hAnsi="Times New Roman"/>
          <w:color w:val="555555"/>
          <w:sz w:val="24"/>
          <w:szCs w:val="24"/>
          <w:lang w:eastAsia="pt-BR"/>
        </w:rPr>
        <w:t>Three Gorges</w:t>
      </w:r>
      <w:r>
        <w:rPr>
          <w:rFonts w:ascii="Times New Roman" w:eastAsia="Times New Roman" w:hAnsi="Times New Roman"/>
          <w:color w:val="555555"/>
          <w:sz w:val="24"/>
          <w:szCs w:val="24"/>
          <w:lang w:eastAsia="pt-BR"/>
        </w:rPr>
        <w:t>”</w:t>
      </w:r>
      <w:r w:rsidRPr="006C555A">
        <w:rPr>
          <w:rFonts w:ascii="Times New Roman" w:eastAsia="Times New Roman" w:hAnsi="Times New Roman"/>
          <w:color w:val="555555"/>
          <w:sz w:val="24"/>
          <w:szCs w:val="24"/>
          <w:lang w:eastAsia="pt-BR"/>
        </w:rPr>
        <w:t xml:space="preserve"> e </w:t>
      </w:r>
      <w:r>
        <w:rPr>
          <w:rFonts w:ascii="Times New Roman" w:eastAsia="Times New Roman" w:hAnsi="Times New Roman"/>
          <w:color w:val="555555"/>
          <w:sz w:val="24"/>
          <w:szCs w:val="24"/>
          <w:lang w:eastAsia="pt-BR"/>
        </w:rPr>
        <w:t>“</w:t>
      </w:r>
      <w:r w:rsidRPr="006C555A">
        <w:rPr>
          <w:rFonts w:ascii="Times New Roman" w:eastAsia="Times New Roman" w:hAnsi="Times New Roman"/>
          <w:color w:val="555555"/>
          <w:sz w:val="24"/>
          <w:szCs w:val="24"/>
          <w:lang w:eastAsia="pt-BR"/>
        </w:rPr>
        <w:t>State Grid</w:t>
      </w:r>
      <w:r>
        <w:rPr>
          <w:rFonts w:ascii="Times New Roman" w:eastAsia="Times New Roman" w:hAnsi="Times New Roman"/>
          <w:color w:val="555555"/>
          <w:sz w:val="24"/>
          <w:szCs w:val="24"/>
          <w:lang w:eastAsia="pt-BR"/>
        </w:rPr>
        <w:t>”</w:t>
      </w:r>
      <w:r w:rsidRPr="006C555A">
        <w:rPr>
          <w:rFonts w:ascii="Times New Roman" w:eastAsia="Times New Roman" w:hAnsi="Times New Roman"/>
          <w:color w:val="555555"/>
          <w:sz w:val="24"/>
          <w:szCs w:val="24"/>
          <w:lang w:eastAsia="pt-BR"/>
        </w:rPr>
        <w:t xml:space="preserve"> serão os principais agentes a operar </w:t>
      </w:r>
      <w:r>
        <w:rPr>
          <w:rFonts w:ascii="Times New Roman" w:eastAsia="Times New Roman" w:hAnsi="Times New Roman"/>
          <w:color w:val="555555"/>
          <w:sz w:val="24"/>
          <w:szCs w:val="24"/>
          <w:lang w:eastAsia="pt-BR"/>
        </w:rPr>
        <w:t xml:space="preserve">o </w:t>
      </w:r>
      <w:r w:rsidRPr="006C555A">
        <w:rPr>
          <w:rFonts w:ascii="Times New Roman" w:eastAsia="Times New Roman" w:hAnsi="Times New Roman"/>
          <w:color w:val="555555"/>
          <w:sz w:val="24"/>
          <w:szCs w:val="24"/>
          <w:lang w:eastAsia="pt-BR"/>
        </w:rPr>
        <w:t>setor.</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r w:rsidRPr="006C555A">
        <w:rPr>
          <w:rFonts w:ascii="Times New Roman" w:eastAsia="Times New Roman" w:hAnsi="Times New Roman"/>
          <w:color w:val="555555"/>
          <w:sz w:val="24"/>
          <w:szCs w:val="24"/>
          <w:lang w:eastAsia="pt-BR"/>
        </w:rPr>
        <w:t>Chama a atenção o fato de que a privatização, de certo modo, apresenta-se como um processo de</w:t>
      </w:r>
      <w:r>
        <w:rPr>
          <w:rFonts w:ascii="Times New Roman" w:eastAsia="Times New Roman" w:hAnsi="Times New Roman"/>
          <w:color w:val="555555"/>
          <w:sz w:val="24"/>
          <w:szCs w:val="24"/>
          <w:lang w:eastAsia="pt-BR"/>
        </w:rPr>
        <w:t xml:space="preserve"> </w:t>
      </w:r>
      <w:r w:rsidRPr="006C555A">
        <w:rPr>
          <w:rFonts w:ascii="Times New Roman" w:eastAsia="Times New Roman" w:hAnsi="Times New Roman"/>
          <w:color w:val="555555"/>
          <w:sz w:val="24"/>
          <w:szCs w:val="24"/>
          <w:lang w:eastAsia="pt-BR"/>
        </w:rPr>
        <w:t>estatização</w:t>
      </w:r>
      <w:r>
        <w:rPr>
          <w:rFonts w:ascii="Times New Roman" w:eastAsia="Times New Roman" w:hAnsi="Times New Roman"/>
          <w:color w:val="555555"/>
          <w:sz w:val="24"/>
          <w:szCs w:val="24"/>
          <w:lang w:eastAsia="pt-BR"/>
        </w:rPr>
        <w:t xml:space="preserve"> internacional</w:t>
      </w:r>
      <w:r w:rsidRPr="006C555A">
        <w:rPr>
          <w:rFonts w:ascii="Times New Roman" w:eastAsia="Times New Roman" w:hAnsi="Times New Roman"/>
          <w:color w:val="555555"/>
          <w:sz w:val="24"/>
          <w:szCs w:val="24"/>
          <w:lang w:eastAsia="pt-BR"/>
        </w:rPr>
        <w:t>, uma vez que empresas públicas brasileiras poderão ser vendidas para empresas estatais</w:t>
      </w:r>
      <w:r>
        <w:rPr>
          <w:rFonts w:ascii="Times New Roman" w:eastAsia="Times New Roman" w:hAnsi="Times New Roman"/>
          <w:color w:val="555555"/>
          <w:sz w:val="24"/>
          <w:szCs w:val="24"/>
          <w:lang w:eastAsia="pt-BR"/>
        </w:rPr>
        <w:t xml:space="preserve"> </w:t>
      </w:r>
      <w:r w:rsidRPr="006C555A">
        <w:rPr>
          <w:rFonts w:ascii="Times New Roman" w:eastAsia="Times New Roman" w:hAnsi="Times New Roman"/>
          <w:color w:val="555555"/>
          <w:sz w:val="24"/>
          <w:szCs w:val="24"/>
          <w:lang w:eastAsia="pt-BR"/>
        </w:rPr>
        <w:t>estrangeiras. Como já demonstrado, o país segue na contramão do restante do mundo. Além de os</w:t>
      </w:r>
      <w:r>
        <w:rPr>
          <w:rFonts w:ascii="Times New Roman" w:eastAsia="Times New Roman" w:hAnsi="Times New Roman"/>
          <w:color w:val="555555"/>
          <w:sz w:val="24"/>
          <w:szCs w:val="24"/>
          <w:lang w:eastAsia="pt-BR"/>
        </w:rPr>
        <w:t xml:space="preserve"> </w:t>
      </w:r>
      <w:r w:rsidRPr="006C555A">
        <w:rPr>
          <w:rFonts w:ascii="Times New Roman" w:eastAsia="Times New Roman" w:hAnsi="Times New Roman"/>
          <w:color w:val="555555"/>
          <w:sz w:val="24"/>
          <w:szCs w:val="24"/>
          <w:lang w:eastAsia="pt-BR"/>
        </w:rPr>
        <w:t>serviços de distribuição de energia elétrica serem majoritariamente estatal e com capital de origem</w:t>
      </w:r>
      <w:r>
        <w:rPr>
          <w:rFonts w:ascii="Times New Roman" w:eastAsia="Times New Roman" w:hAnsi="Times New Roman"/>
          <w:color w:val="555555"/>
          <w:sz w:val="24"/>
          <w:szCs w:val="24"/>
          <w:lang w:eastAsia="pt-BR"/>
        </w:rPr>
        <w:t xml:space="preserve"> nacional, nos países europeus</w:t>
      </w:r>
      <w:r w:rsidRPr="006C555A">
        <w:rPr>
          <w:rFonts w:ascii="Times New Roman" w:eastAsia="Times New Roman" w:hAnsi="Times New Roman"/>
          <w:color w:val="555555"/>
          <w:sz w:val="24"/>
          <w:szCs w:val="24"/>
          <w:lang w:eastAsia="pt-BR"/>
        </w:rPr>
        <w:t xml:space="preserve"> a questão é tratada como de segurança nacional, razão pela qual</w:t>
      </w:r>
      <w:r>
        <w:rPr>
          <w:rFonts w:ascii="Times New Roman" w:eastAsia="Times New Roman" w:hAnsi="Times New Roman"/>
          <w:color w:val="555555"/>
          <w:sz w:val="24"/>
          <w:szCs w:val="24"/>
          <w:lang w:eastAsia="pt-BR"/>
        </w:rPr>
        <w:t xml:space="preserve"> </w:t>
      </w:r>
      <w:r w:rsidRPr="006C555A">
        <w:rPr>
          <w:rFonts w:ascii="Times New Roman" w:eastAsia="Times New Roman" w:hAnsi="Times New Roman"/>
          <w:color w:val="555555"/>
          <w:sz w:val="24"/>
          <w:szCs w:val="24"/>
          <w:lang w:eastAsia="pt-BR"/>
        </w:rPr>
        <w:t xml:space="preserve">diferentes países têm barrado investimentos internacionais no setor. </w:t>
      </w:r>
    </w:p>
    <w:p w:rsidR="00EA3F65"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6C2819" w:rsidRDefault="00EA3F65" w:rsidP="00EA3F65">
      <w:pPr>
        <w:pStyle w:val="PargrafodaLista"/>
        <w:ind w:hanging="11"/>
        <w:jc w:val="both"/>
        <w:rPr>
          <w:rFonts w:ascii="Times New Roman" w:eastAsia="Times New Roman" w:hAnsi="Times New Roman"/>
          <w:b/>
          <w:color w:val="555555"/>
          <w:sz w:val="24"/>
          <w:szCs w:val="24"/>
          <w:lang w:eastAsia="pt-BR"/>
        </w:rPr>
      </w:pPr>
      <w:r w:rsidRPr="006C2819">
        <w:rPr>
          <w:rFonts w:ascii="Times New Roman" w:eastAsia="Times New Roman" w:hAnsi="Times New Roman"/>
          <w:b/>
          <w:color w:val="555555"/>
          <w:sz w:val="24"/>
          <w:szCs w:val="24"/>
          <w:lang w:eastAsia="pt-BR"/>
        </w:rPr>
        <w:lastRenderedPageBreak/>
        <w:t>NO BRASIL, OS CHINESES VIERAM PARA FICAR</w:t>
      </w:r>
    </w:p>
    <w:p w:rsidR="00EA3F65" w:rsidRPr="006C2819"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6C2819" w:rsidRDefault="00EA3F65" w:rsidP="00EA3F65">
      <w:pPr>
        <w:pStyle w:val="PargrafodaLista"/>
        <w:ind w:firstLine="840"/>
        <w:jc w:val="both"/>
        <w:rPr>
          <w:rFonts w:ascii="Times New Roman" w:eastAsia="Times New Roman" w:hAnsi="Times New Roman"/>
          <w:color w:val="555555"/>
          <w:sz w:val="24"/>
          <w:szCs w:val="24"/>
          <w:lang w:eastAsia="pt-BR"/>
        </w:rPr>
      </w:pPr>
      <w:r w:rsidRPr="006C2819">
        <w:rPr>
          <w:rFonts w:ascii="Times New Roman" w:eastAsia="Times New Roman" w:hAnsi="Times New Roman"/>
          <w:color w:val="555555"/>
          <w:sz w:val="24"/>
          <w:szCs w:val="24"/>
          <w:lang w:eastAsia="pt-BR"/>
        </w:rPr>
        <w:t>Quando for finalizado o processo de compra dos ativos da Duke Energy, o grupo estatal chinês “State Grid” assumirá a segunda posição na geração.  Por meio da aquisição da CPFL, que atualmente é uma das maiores empresas do segmento de distribuição no país, passará a ter participações nos segmentos de geração e também distribuição, estabelecendo, desta maneira, uma estrutura verticalizada e tornando-se assim um dos maiores grupos do setor elétrico brasileiro. Importante frisar que o investimento chinês no setor de energia tem crescido significativamente no mundo, alcançando no Brasil cerca de R$ 70 bilhões, entre 2005 e 2015 - uma marca da estratégia chinesa.</w:t>
      </w:r>
    </w:p>
    <w:p w:rsidR="00EA3F65" w:rsidRPr="006C2819"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6C2819" w:rsidRDefault="00EA3F65" w:rsidP="00EA3F65">
      <w:pPr>
        <w:pStyle w:val="PargrafodaLista"/>
        <w:ind w:firstLine="840"/>
        <w:jc w:val="both"/>
        <w:rPr>
          <w:rFonts w:ascii="Times New Roman" w:eastAsia="Times New Roman" w:hAnsi="Times New Roman"/>
          <w:color w:val="555555"/>
          <w:sz w:val="24"/>
          <w:szCs w:val="24"/>
          <w:lang w:eastAsia="pt-BR"/>
        </w:rPr>
      </w:pPr>
    </w:p>
    <w:p w:rsidR="00EA3F65" w:rsidRPr="0036273D" w:rsidRDefault="00EA3F65" w:rsidP="00EA3F65">
      <w:pPr>
        <w:pStyle w:val="PargrafodaLista"/>
        <w:ind w:firstLine="840"/>
        <w:jc w:val="both"/>
        <w:rPr>
          <w:rFonts w:ascii="Times New Roman" w:eastAsia="Times New Roman" w:hAnsi="Times New Roman"/>
          <w:color w:val="555555"/>
          <w:sz w:val="24"/>
          <w:szCs w:val="24"/>
          <w:lang w:eastAsia="pt-BR"/>
        </w:rPr>
      </w:pPr>
    </w:p>
    <w:p w:rsidR="00C02D8C" w:rsidRPr="00EA3F65" w:rsidRDefault="00C02D8C" w:rsidP="00EA3F65"/>
    <w:sectPr w:rsidR="00C02D8C" w:rsidRPr="00EA3F65" w:rsidSect="00C02D8C">
      <w:headerReference w:type="even" r:id="rId9"/>
      <w:headerReference w:type="default" r:id="rId10"/>
      <w:footerReference w:type="default" r:id="rId11"/>
      <w:headerReference w:type="first" r:id="rId12"/>
      <w:pgSz w:w="11906" w:h="16838"/>
      <w:pgMar w:top="2127" w:right="1134" w:bottom="1134" w:left="156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6C" w:rsidRDefault="0067656C" w:rsidP="00EC5A5C">
      <w:pPr>
        <w:spacing w:after="0" w:line="240" w:lineRule="auto"/>
      </w:pPr>
      <w:r>
        <w:separator/>
      </w:r>
    </w:p>
  </w:endnote>
  <w:endnote w:type="continuationSeparator" w:id="0">
    <w:p w:rsidR="0067656C" w:rsidRDefault="0067656C" w:rsidP="00EC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MNCaeciliaW01-45Ligh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04914"/>
      <w:docPartObj>
        <w:docPartGallery w:val="Page Numbers (Bottom of Page)"/>
        <w:docPartUnique/>
      </w:docPartObj>
    </w:sdtPr>
    <w:sdtEndPr/>
    <w:sdtContent>
      <w:p w:rsidR="00240E3F" w:rsidRDefault="00240E3F">
        <w:pPr>
          <w:pStyle w:val="Rodap"/>
          <w:jc w:val="right"/>
        </w:pPr>
        <w:r>
          <w:fldChar w:fldCharType="begin"/>
        </w:r>
        <w:r>
          <w:instrText>PAGE   \* MERGEFORMAT</w:instrText>
        </w:r>
        <w:r>
          <w:fldChar w:fldCharType="separate"/>
        </w:r>
        <w:r w:rsidR="00154697">
          <w:rPr>
            <w:noProof/>
          </w:rPr>
          <w:t>1</w:t>
        </w:r>
        <w:r>
          <w:fldChar w:fldCharType="end"/>
        </w:r>
      </w:p>
    </w:sdtContent>
  </w:sdt>
  <w:p w:rsidR="00240E3F" w:rsidRDefault="00240E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6C" w:rsidRDefault="0067656C" w:rsidP="00EC5A5C">
      <w:pPr>
        <w:spacing w:after="0" w:line="240" w:lineRule="auto"/>
      </w:pPr>
      <w:r>
        <w:separator/>
      </w:r>
    </w:p>
  </w:footnote>
  <w:footnote w:type="continuationSeparator" w:id="0">
    <w:p w:rsidR="0067656C" w:rsidRDefault="0067656C" w:rsidP="00EC5A5C">
      <w:pPr>
        <w:spacing w:after="0" w:line="240" w:lineRule="auto"/>
      </w:pPr>
      <w:r>
        <w:continuationSeparator/>
      </w:r>
    </w:p>
  </w:footnote>
  <w:footnote w:id="1">
    <w:p w:rsidR="00EA3F65" w:rsidRPr="00257BC7" w:rsidRDefault="00EA3F65" w:rsidP="00EA3F65">
      <w:pPr>
        <w:pStyle w:val="Textodenotaderodap"/>
        <w:rPr>
          <w:rFonts w:ascii="Times New Roman" w:hAnsi="Times New Roman" w:cs="Times New Roman"/>
        </w:rPr>
      </w:pPr>
      <w:r w:rsidRPr="00257BC7">
        <w:rPr>
          <w:rStyle w:val="Refdenotaderodap"/>
          <w:rFonts w:ascii="Times New Roman" w:hAnsi="Times New Roman" w:cs="Times New Roman"/>
        </w:rPr>
        <w:footnoteRef/>
      </w:r>
      <w:r w:rsidRPr="00257BC7">
        <w:rPr>
          <w:rFonts w:ascii="Times New Roman" w:hAnsi="Times New Roman" w:cs="Times New Roman"/>
        </w:rPr>
        <w:t xml:space="preserve"> O Preço de Liquidação de Diferenças </w:t>
      </w:r>
      <w:r>
        <w:rPr>
          <w:rFonts w:ascii="Times New Roman" w:hAnsi="Times New Roman" w:cs="Times New Roman"/>
        </w:rPr>
        <w:t>(</w:t>
      </w:r>
      <w:r w:rsidRPr="00413ECE">
        <w:rPr>
          <w:rFonts w:ascii="Times New Roman" w:hAnsi="Times New Roman" w:cs="Times New Roman"/>
        </w:rPr>
        <w:t>PLD</w:t>
      </w:r>
      <w:r>
        <w:rPr>
          <w:rFonts w:ascii="Times New Roman" w:hAnsi="Times New Roman" w:cs="Times New Roman"/>
        </w:rPr>
        <w:t>)</w:t>
      </w:r>
      <w:r w:rsidRPr="00413ECE">
        <w:rPr>
          <w:rFonts w:ascii="Times New Roman" w:hAnsi="Times New Roman" w:cs="Times New Roman"/>
        </w:rPr>
        <w:t xml:space="preserve"> é</w:t>
      </w:r>
      <w:r w:rsidRPr="00257BC7">
        <w:rPr>
          <w:rFonts w:ascii="Times New Roman" w:hAnsi="Times New Roman" w:cs="Times New Roman"/>
        </w:rPr>
        <w:t xml:space="preserve"> um valor determinado semanalmente para cada patamar de carga com base no Custo Marginal de Operação, limitado por um preço máximo e mínimo vigentes para cada período de apuração e para cada Submercado.</w:t>
      </w:r>
    </w:p>
  </w:footnote>
  <w:footnote w:id="2">
    <w:p w:rsidR="00EA3F65" w:rsidRPr="00220290" w:rsidRDefault="00EA3F65" w:rsidP="00EA3F65">
      <w:pPr>
        <w:pStyle w:val="Textodenotaderodap"/>
        <w:rPr>
          <w:rFonts w:ascii="Times New Roman" w:hAnsi="Times New Roman" w:cs="Times New Roman"/>
        </w:rPr>
      </w:pPr>
      <w:r>
        <w:rPr>
          <w:rStyle w:val="Refdenotaderodap"/>
        </w:rPr>
        <w:footnoteRef/>
      </w:r>
      <w:r>
        <w:t xml:space="preserve"> </w:t>
      </w:r>
      <w:r w:rsidRPr="00220290">
        <w:rPr>
          <w:rFonts w:ascii="Times New Roman" w:hAnsi="Times New Roman" w:cs="Times New Roman"/>
        </w:rPr>
        <w:t>Déficit que ocorre quando o gerador não consegue entregar ao sistema a energia assegurada (garantia fís</w:t>
      </w:r>
      <w:r>
        <w:rPr>
          <w:rFonts w:ascii="Times New Roman" w:hAnsi="Times New Roman" w:cs="Times New Roman"/>
        </w:rPr>
        <w:t>ica).</w:t>
      </w:r>
    </w:p>
  </w:footnote>
  <w:footnote w:id="3">
    <w:p w:rsidR="00EA3F65" w:rsidRPr="002E59C5" w:rsidRDefault="00EA3F65" w:rsidP="00EA3F65">
      <w:pPr>
        <w:pStyle w:val="Textodenotaderodap"/>
        <w:rPr>
          <w:sz w:val="16"/>
        </w:rPr>
      </w:pPr>
      <w:r>
        <w:rPr>
          <w:rStyle w:val="Refdenotaderodap"/>
        </w:rPr>
        <w:footnoteRef/>
      </w:r>
      <w:r>
        <w:t xml:space="preserve"> </w:t>
      </w:r>
      <w:r w:rsidRPr="002E59C5">
        <w:rPr>
          <w:rFonts w:ascii="Times New Roman" w:eastAsia="Times New Roman" w:hAnsi="Times New Roman" w:cs="Times New Roman"/>
          <w:color w:val="555555"/>
          <w:szCs w:val="24"/>
          <w:lang w:eastAsia="pt-BR"/>
        </w:rPr>
        <w:t>Esses fundos públicos que alcançam um montante de R$ 15 bilhões anuais.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5C" w:rsidRDefault="0015469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444063" o:spid="_x0000_s2050" type="#_x0000_t75" style="position:absolute;margin-left:0;margin-top:0;width:534pt;height:763.9pt;z-index:-251657216;mso-position-horizontal:center;mso-position-horizontal-relative:margin;mso-position-vertical:center;mso-position-vertical-relative:margin" o:allowincell="f">
          <v:imagedata r:id="rId1" o:title="modelo papel 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154697" w:rsidP="00240E3F">
    <w:pPr>
      <w:pStyle w:val="TextosemFormatao"/>
      <w:jc w:val="center"/>
      <w:rPr>
        <w:rFonts w:ascii="Bookman Old Style" w:hAnsi="Bookman Old Style" w:cs="Arial"/>
        <w:sz w:val="18"/>
      </w:rPr>
    </w:pPr>
    <w:r>
      <w:rPr>
        <w:noProof/>
        <w:sz w:val="1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444064" o:spid="_x0000_s2051" type="#_x0000_t75" style="position:absolute;left:0;text-align:left;margin-left:-51.15pt;margin-top:-77.7pt;width:539.15pt;height:736.3pt;z-index:-251656192;mso-position-horizontal-relative:margin;mso-position-vertical-relative:margin" o:allowincell="f">
          <v:imagedata r:id="rId1" o:title="modelo papel timbrado"/>
          <w10:wrap anchorx="margin" anchory="margin"/>
        </v:shape>
      </w:pict>
    </w:r>
  </w:p>
  <w:p w:rsidR="00247575" w:rsidRDefault="00247575" w:rsidP="00240E3F">
    <w:pPr>
      <w:pStyle w:val="TextosemFormatao"/>
      <w:jc w:val="center"/>
      <w:rPr>
        <w:rFonts w:ascii="Bookman Old Style" w:hAnsi="Bookman Old Style" w:cs="Arial"/>
        <w:sz w:val="18"/>
      </w:rPr>
    </w:pPr>
  </w:p>
  <w:p w:rsidR="00240E3F" w:rsidRPr="00240E3F" w:rsidRDefault="00247575" w:rsidP="00240E3F">
    <w:pPr>
      <w:pStyle w:val="TextosemFormatao"/>
      <w:jc w:val="center"/>
      <w:rPr>
        <w:rFonts w:ascii="Bookman Old Style" w:hAnsi="Bookman Old Style" w:cs="Arial"/>
        <w:sz w:val="18"/>
      </w:rPr>
    </w:pPr>
    <w:r>
      <w:rPr>
        <w:rFonts w:ascii="Bookman Old Style" w:hAnsi="Bookman Old Style" w:cs="Arial"/>
        <w:sz w:val="18"/>
      </w:rPr>
      <w:br/>
    </w:r>
    <w:r w:rsidR="00240E3F" w:rsidRPr="00240E3F">
      <w:rPr>
        <w:rFonts w:ascii="Bookman Old Style" w:hAnsi="Bookman Old Style" w:cs="Arial"/>
        <w:sz w:val="18"/>
      </w:rPr>
      <w:t>CÂMARA DOS DEPUTADOS</w:t>
    </w:r>
  </w:p>
  <w:p w:rsidR="00240E3F" w:rsidRPr="00240E3F" w:rsidRDefault="00240E3F" w:rsidP="00240E3F">
    <w:pPr>
      <w:pStyle w:val="TextosemFormatao"/>
      <w:jc w:val="center"/>
      <w:rPr>
        <w:rFonts w:ascii="Bookman Old Style" w:hAnsi="Bookman Old Style" w:cs="Arial"/>
        <w:b/>
        <w:sz w:val="20"/>
      </w:rPr>
    </w:pPr>
    <w:r w:rsidRPr="00240E3F">
      <w:rPr>
        <w:rFonts w:ascii="Bookman Old Style" w:hAnsi="Bookman Old Style" w:cs="Arial"/>
        <w:b/>
        <w:sz w:val="18"/>
      </w:rPr>
      <w:t>LIDERANÇA DO PARTIDO DOS TRABALHADORES</w:t>
    </w:r>
  </w:p>
  <w:p w:rsidR="00EC5A5C" w:rsidRPr="00240E3F" w:rsidRDefault="00240E3F" w:rsidP="00240E3F">
    <w:pPr>
      <w:pStyle w:val="Cabealho"/>
      <w:jc w:val="center"/>
      <w:rPr>
        <w:rFonts w:ascii="Bookman Old Style" w:hAnsi="Bookman Old Style" w:cs="Arial"/>
        <w:b/>
        <w:sz w:val="18"/>
      </w:rPr>
    </w:pPr>
    <w:r w:rsidRPr="00240E3F">
      <w:rPr>
        <w:rFonts w:ascii="Bookman Old Style" w:hAnsi="Bookman Old Style" w:cs="Arial"/>
        <w:b/>
        <w:sz w:val="18"/>
      </w:rPr>
      <w:t>Assessoria Técnica</w:t>
    </w:r>
  </w:p>
  <w:p w:rsidR="00240E3F" w:rsidRPr="00240E3F" w:rsidRDefault="00240E3F" w:rsidP="00240E3F">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5C" w:rsidRDefault="0015469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444062" o:spid="_x0000_s2049" type="#_x0000_t75" style="position:absolute;margin-left:0;margin-top:0;width:534pt;height:763.9pt;z-index:-251658240;mso-position-horizontal:center;mso-position-horizontal-relative:margin;mso-position-vertical:center;mso-position-vertical-relative:margin" o:allowincell="f">
          <v:imagedata r:id="rId1" o:title="modelo papel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7E4"/>
    <w:multiLevelType w:val="hybridMultilevel"/>
    <w:tmpl w:val="97541E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8E301D8"/>
    <w:multiLevelType w:val="hybridMultilevel"/>
    <w:tmpl w:val="B28AC9FC"/>
    <w:lvl w:ilvl="0" w:tplc="2EF83C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846EE0"/>
    <w:multiLevelType w:val="hybridMultilevel"/>
    <w:tmpl w:val="611A96E4"/>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519201DA"/>
    <w:multiLevelType w:val="hybridMultilevel"/>
    <w:tmpl w:val="88A49E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5EB05624"/>
    <w:multiLevelType w:val="hybridMultilevel"/>
    <w:tmpl w:val="C4720612"/>
    <w:lvl w:ilvl="0" w:tplc="B8169D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A0"/>
    <w:rsid w:val="00010209"/>
    <w:rsid w:val="000E0B2D"/>
    <w:rsid w:val="00154697"/>
    <w:rsid w:val="00240E3F"/>
    <w:rsid w:val="002467E1"/>
    <w:rsid w:val="00247575"/>
    <w:rsid w:val="002F3B9B"/>
    <w:rsid w:val="00317182"/>
    <w:rsid w:val="0032397B"/>
    <w:rsid w:val="003C4DAA"/>
    <w:rsid w:val="00444FFB"/>
    <w:rsid w:val="005116FB"/>
    <w:rsid w:val="005D36A8"/>
    <w:rsid w:val="0067248E"/>
    <w:rsid w:val="0067656C"/>
    <w:rsid w:val="006F34EF"/>
    <w:rsid w:val="0070063A"/>
    <w:rsid w:val="00822DE2"/>
    <w:rsid w:val="008F0DAE"/>
    <w:rsid w:val="00953711"/>
    <w:rsid w:val="00A56DB7"/>
    <w:rsid w:val="00A72E5D"/>
    <w:rsid w:val="00A76AA6"/>
    <w:rsid w:val="00BE57AC"/>
    <w:rsid w:val="00C02D8C"/>
    <w:rsid w:val="00C75882"/>
    <w:rsid w:val="00D00709"/>
    <w:rsid w:val="00E60516"/>
    <w:rsid w:val="00E70FB4"/>
    <w:rsid w:val="00E829A0"/>
    <w:rsid w:val="00EA3F65"/>
    <w:rsid w:val="00EC5A5C"/>
    <w:rsid w:val="00EC6B61"/>
    <w:rsid w:val="00F84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0C01EB-452E-416A-AE9E-E3BCA00D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A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E829A0"/>
    <w:pPr>
      <w:spacing w:after="0" w:line="240" w:lineRule="auto"/>
    </w:pPr>
    <w:rPr>
      <w:rFonts w:ascii="Arial" w:eastAsia="Times New Roman" w:hAnsi="Arial"/>
      <w:sz w:val="24"/>
      <w:szCs w:val="21"/>
    </w:rPr>
  </w:style>
  <w:style w:type="character" w:customStyle="1" w:styleId="TextosemFormataoChar">
    <w:name w:val="Texto sem Formatação Char"/>
    <w:basedOn w:val="Fontepargpadro"/>
    <w:link w:val="TextosemFormatao"/>
    <w:uiPriority w:val="99"/>
    <w:rsid w:val="00E829A0"/>
    <w:rPr>
      <w:rFonts w:ascii="Arial" w:eastAsia="Times New Roman" w:hAnsi="Arial" w:cs="Times New Roman"/>
      <w:sz w:val="24"/>
      <w:szCs w:val="21"/>
    </w:rPr>
  </w:style>
  <w:style w:type="character" w:customStyle="1" w:styleId="apple-converted-space">
    <w:name w:val="apple-converted-space"/>
    <w:basedOn w:val="Fontepargpadro"/>
    <w:rsid w:val="00E829A0"/>
  </w:style>
  <w:style w:type="paragraph" w:styleId="Corpodetexto">
    <w:name w:val="Body Text"/>
    <w:basedOn w:val="Normal"/>
    <w:link w:val="CorpodetextoChar"/>
    <w:semiHidden/>
    <w:rsid w:val="0067248E"/>
    <w:pPr>
      <w:widowControl w:val="0"/>
      <w:suppressAutoHyphens/>
      <w:spacing w:after="120" w:line="240" w:lineRule="auto"/>
    </w:pPr>
    <w:rPr>
      <w:rFonts w:ascii="Times New Roman" w:eastAsia="Arial Unicode MS" w:hAnsi="Times New Roman"/>
      <w:kern w:val="1"/>
      <w:sz w:val="24"/>
      <w:szCs w:val="24"/>
    </w:rPr>
  </w:style>
  <w:style w:type="character" w:customStyle="1" w:styleId="CorpodetextoChar">
    <w:name w:val="Corpo de texto Char"/>
    <w:basedOn w:val="Fontepargpadro"/>
    <w:link w:val="Corpodetexto"/>
    <w:semiHidden/>
    <w:rsid w:val="0067248E"/>
    <w:rPr>
      <w:rFonts w:ascii="Times New Roman" w:eastAsia="Arial Unicode MS" w:hAnsi="Times New Roman" w:cs="Times New Roman"/>
      <w:kern w:val="1"/>
      <w:sz w:val="24"/>
      <w:szCs w:val="24"/>
    </w:rPr>
  </w:style>
  <w:style w:type="paragraph" w:styleId="PargrafodaLista">
    <w:name w:val="List Paragraph"/>
    <w:basedOn w:val="Normal"/>
    <w:uiPriority w:val="34"/>
    <w:qFormat/>
    <w:rsid w:val="0067248E"/>
    <w:pPr>
      <w:ind w:left="720"/>
      <w:contextualSpacing/>
    </w:pPr>
  </w:style>
  <w:style w:type="paragraph" w:styleId="Textodebalo">
    <w:name w:val="Balloon Text"/>
    <w:basedOn w:val="Normal"/>
    <w:link w:val="TextodebaloChar"/>
    <w:uiPriority w:val="99"/>
    <w:semiHidden/>
    <w:unhideWhenUsed/>
    <w:rsid w:val="009537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711"/>
    <w:rPr>
      <w:rFonts w:ascii="Segoe UI" w:eastAsia="Calibri" w:hAnsi="Segoe UI" w:cs="Segoe UI"/>
      <w:sz w:val="18"/>
      <w:szCs w:val="18"/>
    </w:rPr>
  </w:style>
  <w:style w:type="paragraph" w:styleId="Cabealho">
    <w:name w:val="header"/>
    <w:basedOn w:val="Normal"/>
    <w:link w:val="CabealhoChar"/>
    <w:uiPriority w:val="99"/>
    <w:unhideWhenUsed/>
    <w:rsid w:val="00EC5A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A5C"/>
    <w:rPr>
      <w:rFonts w:ascii="Calibri" w:eastAsia="Calibri" w:hAnsi="Calibri" w:cs="Times New Roman"/>
    </w:rPr>
  </w:style>
  <w:style w:type="paragraph" w:styleId="Rodap">
    <w:name w:val="footer"/>
    <w:basedOn w:val="Normal"/>
    <w:link w:val="RodapChar"/>
    <w:uiPriority w:val="99"/>
    <w:unhideWhenUsed/>
    <w:rsid w:val="00EC5A5C"/>
    <w:pPr>
      <w:tabs>
        <w:tab w:val="center" w:pos="4252"/>
        <w:tab w:val="right" w:pos="8504"/>
      </w:tabs>
      <w:spacing w:after="0" w:line="240" w:lineRule="auto"/>
    </w:pPr>
  </w:style>
  <w:style w:type="character" w:customStyle="1" w:styleId="RodapChar">
    <w:name w:val="Rodapé Char"/>
    <w:basedOn w:val="Fontepargpadro"/>
    <w:link w:val="Rodap"/>
    <w:uiPriority w:val="99"/>
    <w:rsid w:val="00EC5A5C"/>
    <w:rPr>
      <w:rFonts w:ascii="Calibri" w:eastAsia="Calibri" w:hAnsi="Calibri" w:cs="Times New Roman"/>
    </w:rPr>
  </w:style>
  <w:style w:type="paragraph" w:styleId="Legenda">
    <w:name w:val="caption"/>
    <w:basedOn w:val="Normal"/>
    <w:next w:val="Normal"/>
    <w:uiPriority w:val="35"/>
    <w:unhideWhenUsed/>
    <w:qFormat/>
    <w:rsid w:val="00EA3F65"/>
    <w:pPr>
      <w:spacing w:line="240" w:lineRule="auto"/>
    </w:pPr>
    <w:rPr>
      <w:rFonts w:asciiTheme="minorHAnsi" w:eastAsiaTheme="minorHAnsi" w:hAnsiTheme="minorHAnsi" w:cstheme="minorBidi"/>
      <w:i/>
      <w:iCs/>
      <w:color w:val="44546A" w:themeColor="text2"/>
      <w:sz w:val="18"/>
      <w:szCs w:val="18"/>
    </w:rPr>
  </w:style>
  <w:style w:type="paragraph" w:styleId="Textodenotaderodap">
    <w:name w:val="footnote text"/>
    <w:basedOn w:val="Normal"/>
    <w:link w:val="TextodenotaderodapChar"/>
    <w:uiPriority w:val="99"/>
    <w:semiHidden/>
    <w:unhideWhenUsed/>
    <w:rsid w:val="00EA3F65"/>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EA3F65"/>
    <w:rPr>
      <w:sz w:val="20"/>
      <w:szCs w:val="20"/>
    </w:rPr>
  </w:style>
  <w:style w:type="character" w:styleId="Refdenotaderodap">
    <w:name w:val="footnote reference"/>
    <w:basedOn w:val="Fontepargpadro"/>
    <w:uiPriority w:val="99"/>
    <w:semiHidden/>
    <w:unhideWhenUsed/>
    <w:rsid w:val="00EA3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A7A8-6E95-4A7E-9C66-56978F8E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Eneida Vinhaes Bello Dultra</dc:creator>
  <cp:keywords/>
  <dc:description/>
  <cp:lastModifiedBy>Daisy Aparecida Barretta</cp:lastModifiedBy>
  <cp:revision>2</cp:revision>
  <cp:lastPrinted>2017-08-23T16:25:00Z</cp:lastPrinted>
  <dcterms:created xsi:type="dcterms:W3CDTF">2017-08-30T18:55:00Z</dcterms:created>
  <dcterms:modified xsi:type="dcterms:W3CDTF">2017-08-30T18:55:00Z</dcterms:modified>
</cp:coreProperties>
</file>