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9B" w:rsidRPr="00C04B80" w:rsidRDefault="0005109B" w:rsidP="0005109B">
      <w:pPr>
        <w:jc w:val="center"/>
        <w:rPr>
          <w:rFonts w:ascii="Times New Roman" w:hAnsi="Times New Roman" w:cs="Times New Roman"/>
          <w:b/>
          <w:sz w:val="28"/>
          <w:szCs w:val="28"/>
          <w:u w:val="single"/>
        </w:rPr>
      </w:pPr>
      <w:r w:rsidRPr="00C04B80">
        <w:rPr>
          <w:rFonts w:ascii="Times New Roman" w:hAnsi="Times New Roman" w:cs="Times New Roman"/>
          <w:b/>
          <w:sz w:val="28"/>
          <w:szCs w:val="28"/>
          <w:u w:val="single"/>
        </w:rPr>
        <w:t>Nota de leilões do pré-sal de 27 de outubro</w:t>
      </w:r>
    </w:p>
    <w:p w:rsidR="0005109B" w:rsidRDefault="00D92B44" w:rsidP="0005109B">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Bruno Moretti – Assessor da Liderança do PT no Senado Federal</w:t>
      </w:r>
    </w:p>
    <w:p w:rsidR="00D92B44" w:rsidRDefault="00D92B44" w:rsidP="0005109B">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Marcelo Zero – Assessor da Liderança do PT no Senado Federal</w:t>
      </w:r>
    </w:p>
    <w:p w:rsidR="00D92B44" w:rsidRPr="00C04B80" w:rsidRDefault="00D92B44" w:rsidP="0005109B">
      <w:pPr>
        <w:jc w:val="both"/>
        <w:rPr>
          <w:rFonts w:ascii="Times New Roman" w:hAnsi="Times New Roman" w:cs="Times New Roman"/>
          <w:color w:val="222222"/>
          <w:sz w:val="28"/>
          <w:szCs w:val="28"/>
          <w:shd w:val="clear" w:color="auto" w:fill="FFFFFF"/>
        </w:rPr>
      </w:pPr>
    </w:p>
    <w:p w:rsidR="0005109B" w:rsidRPr="00C04B80" w:rsidRDefault="0005109B" w:rsidP="0005109B">
      <w:pPr>
        <w:jc w:val="both"/>
        <w:rPr>
          <w:rFonts w:ascii="Times New Roman" w:hAnsi="Times New Roman" w:cs="Times New Roman"/>
          <w:color w:val="222222"/>
          <w:sz w:val="28"/>
          <w:szCs w:val="28"/>
          <w:u w:val="single"/>
          <w:shd w:val="clear" w:color="auto" w:fill="FFFFFF"/>
        </w:rPr>
      </w:pPr>
      <w:r w:rsidRPr="00C04B80">
        <w:rPr>
          <w:rFonts w:ascii="Times New Roman" w:hAnsi="Times New Roman" w:cs="Times New Roman"/>
          <w:color w:val="222222"/>
          <w:sz w:val="28"/>
          <w:szCs w:val="28"/>
          <w:u w:val="single"/>
          <w:shd w:val="clear" w:color="auto" w:fill="FFFFFF"/>
        </w:rPr>
        <w:t>Introdução</w:t>
      </w:r>
    </w:p>
    <w:p w:rsidR="0005109B" w:rsidRPr="00C04B80" w:rsidRDefault="0005109B"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Em 27 de outubro, serão realizadas a 2ª e a 3º rodadas de partilha de produção, sendo licitados oito blocos localizados nas bacias de Campos e Santos. Os bônus de assinatura são fixos para as duas rodadas e o excedente em óleo para a União</w:t>
      </w:r>
      <w:r w:rsidRPr="00C04B80">
        <w:rPr>
          <w:rStyle w:val="Refdenotaderodap"/>
          <w:rFonts w:ascii="Times New Roman" w:hAnsi="Times New Roman" w:cs="Times New Roman"/>
          <w:color w:val="222222"/>
          <w:sz w:val="28"/>
          <w:szCs w:val="28"/>
          <w:shd w:val="clear" w:color="auto" w:fill="FFFFFF"/>
        </w:rPr>
        <w:footnoteReference w:id="1"/>
      </w:r>
      <w:r w:rsidRPr="00C04B80">
        <w:rPr>
          <w:rFonts w:ascii="Times New Roman" w:hAnsi="Times New Roman" w:cs="Times New Roman"/>
          <w:color w:val="222222"/>
          <w:sz w:val="28"/>
          <w:szCs w:val="28"/>
          <w:shd w:val="clear" w:color="auto" w:fill="FFFFFF"/>
        </w:rPr>
        <w:t xml:space="preserve"> é o critério que define o vencedor.</w:t>
      </w:r>
    </w:p>
    <w:p w:rsidR="0005109B" w:rsidRPr="00C04B80" w:rsidRDefault="0005109B"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A grande quantidade de petróleo recuperável descoberto no pré-sal</w:t>
      </w:r>
      <w:r w:rsidR="0073430A" w:rsidRPr="00C04B80">
        <w:rPr>
          <w:rFonts w:ascii="Times New Roman" w:hAnsi="Times New Roman" w:cs="Times New Roman"/>
          <w:color w:val="222222"/>
          <w:sz w:val="28"/>
          <w:szCs w:val="28"/>
          <w:shd w:val="clear" w:color="auto" w:fill="FFFFFF"/>
        </w:rPr>
        <w:t>, a maior descoberta de petróleo e gás deste século</w:t>
      </w:r>
      <w:r w:rsidR="00B47CBD" w:rsidRPr="00C04B80">
        <w:rPr>
          <w:rFonts w:ascii="Times New Roman" w:hAnsi="Times New Roman" w:cs="Times New Roman"/>
          <w:color w:val="222222"/>
          <w:sz w:val="28"/>
          <w:szCs w:val="28"/>
          <w:shd w:val="clear" w:color="auto" w:fill="FFFFFF"/>
        </w:rPr>
        <w:t xml:space="preserve">, que desperta a cobiça de todas </w:t>
      </w:r>
      <w:r w:rsidR="00E412EE" w:rsidRPr="00C04B80">
        <w:rPr>
          <w:rFonts w:ascii="Times New Roman" w:hAnsi="Times New Roman" w:cs="Times New Roman"/>
          <w:color w:val="222222"/>
          <w:sz w:val="28"/>
          <w:szCs w:val="28"/>
          <w:shd w:val="clear" w:color="auto" w:fill="FFFFFF"/>
        </w:rPr>
        <w:t xml:space="preserve">as </w:t>
      </w:r>
      <w:r w:rsidR="00B47CBD" w:rsidRPr="00C04B80">
        <w:rPr>
          <w:rFonts w:ascii="Times New Roman" w:hAnsi="Times New Roman" w:cs="Times New Roman"/>
          <w:color w:val="222222"/>
          <w:sz w:val="28"/>
          <w:szCs w:val="28"/>
          <w:shd w:val="clear" w:color="auto" w:fill="FFFFFF"/>
        </w:rPr>
        <w:t>multinacionais petroleiras</w:t>
      </w:r>
      <w:r w:rsidR="00A9729F" w:rsidRPr="00C04B80">
        <w:rPr>
          <w:rFonts w:ascii="Times New Roman" w:hAnsi="Times New Roman" w:cs="Times New Roman"/>
          <w:color w:val="222222"/>
          <w:sz w:val="28"/>
          <w:szCs w:val="28"/>
          <w:shd w:val="clear" w:color="auto" w:fill="FFFFFF"/>
        </w:rPr>
        <w:t>,</w:t>
      </w:r>
      <w:r w:rsidRPr="00C04B80">
        <w:rPr>
          <w:rFonts w:ascii="Times New Roman" w:hAnsi="Times New Roman" w:cs="Times New Roman"/>
          <w:color w:val="222222"/>
          <w:sz w:val="28"/>
          <w:szCs w:val="28"/>
          <w:shd w:val="clear" w:color="auto" w:fill="FFFFFF"/>
        </w:rPr>
        <w:t xml:space="preserve"> só foi possível em virtude do </w:t>
      </w:r>
      <w:r w:rsidRPr="00C04B80">
        <w:rPr>
          <w:rFonts w:ascii="Times New Roman" w:hAnsi="Times New Roman" w:cs="Times New Roman"/>
          <w:color w:val="222222"/>
          <w:sz w:val="28"/>
          <w:szCs w:val="28"/>
          <w:u w:val="single"/>
          <w:shd w:val="clear" w:color="auto" w:fill="FFFFFF"/>
        </w:rPr>
        <w:t>desenvolvimento da capacidade tecnológica e geológica da Petrobrás</w:t>
      </w:r>
      <w:r w:rsidRPr="00C04B80">
        <w:rPr>
          <w:rFonts w:ascii="Times New Roman" w:hAnsi="Times New Roman" w:cs="Times New Roman"/>
          <w:color w:val="222222"/>
          <w:sz w:val="28"/>
          <w:szCs w:val="28"/>
          <w:shd w:val="clear" w:color="auto" w:fill="FFFFFF"/>
        </w:rPr>
        <w:t xml:space="preserve"> em atividade exploratória em águas profundas. Para tanto, foram superados enormes obstáculos tecnológicos e financeiros até a Petrobrás encontrar petróleo.</w:t>
      </w:r>
      <w:r w:rsidR="00AD0904" w:rsidRPr="00C04B80">
        <w:rPr>
          <w:rFonts w:ascii="Times New Roman" w:hAnsi="Times New Roman" w:cs="Times New Roman"/>
          <w:color w:val="222222"/>
          <w:sz w:val="28"/>
          <w:szCs w:val="28"/>
          <w:shd w:val="clear" w:color="auto" w:fill="FFFFFF"/>
        </w:rPr>
        <w:t xml:space="preserve"> A Petrobras, </w:t>
      </w:r>
      <w:r w:rsidR="000032FE" w:rsidRPr="00C04B80">
        <w:rPr>
          <w:rFonts w:ascii="Times New Roman" w:hAnsi="Times New Roman" w:cs="Times New Roman"/>
          <w:color w:val="222222"/>
          <w:sz w:val="28"/>
          <w:szCs w:val="28"/>
          <w:shd w:val="clear" w:color="auto" w:fill="FFFFFF"/>
        </w:rPr>
        <w:t>ressalte</w:t>
      </w:r>
      <w:r w:rsidR="00A9729F" w:rsidRPr="00C04B80">
        <w:rPr>
          <w:rFonts w:ascii="Times New Roman" w:hAnsi="Times New Roman" w:cs="Times New Roman"/>
          <w:color w:val="222222"/>
          <w:sz w:val="28"/>
          <w:szCs w:val="28"/>
          <w:shd w:val="clear" w:color="auto" w:fill="FFFFFF"/>
        </w:rPr>
        <w:t>-s</w:t>
      </w:r>
      <w:r w:rsidR="000032FE" w:rsidRPr="00C04B80">
        <w:rPr>
          <w:rFonts w:ascii="Times New Roman" w:hAnsi="Times New Roman" w:cs="Times New Roman"/>
          <w:color w:val="222222"/>
          <w:sz w:val="28"/>
          <w:szCs w:val="28"/>
          <w:shd w:val="clear" w:color="auto" w:fill="FFFFFF"/>
        </w:rPr>
        <w:t>e</w:t>
      </w:r>
      <w:r w:rsidR="00E412EE" w:rsidRPr="00C04B80">
        <w:rPr>
          <w:rFonts w:ascii="Times New Roman" w:hAnsi="Times New Roman" w:cs="Times New Roman"/>
          <w:color w:val="222222"/>
          <w:sz w:val="28"/>
          <w:szCs w:val="28"/>
          <w:shd w:val="clear" w:color="auto" w:fill="FFFFFF"/>
        </w:rPr>
        <w:t>,</w:t>
      </w:r>
      <w:r w:rsidR="000032FE" w:rsidRPr="00C04B80">
        <w:rPr>
          <w:rFonts w:ascii="Times New Roman" w:hAnsi="Times New Roman" w:cs="Times New Roman"/>
          <w:color w:val="222222"/>
          <w:sz w:val="28"/>
          <w:szCs w:val="28"/>
          <w:shd w:val="clear" w:color="auto" w:fill="FFFFFF"/>
        </w:rPr>
        <w:t xml:space="preserve"> já ganhou por três vezes o principal prêm</w:t>
      </w:r>
      <w:r w:rsidR="00A9729F" w:rsidRPr="00C04B80">
        <w:rPr>
          <w:rFonts w:ascii="Times New Roman" w:hAnsi="Times New Roman" w:cs="Times New Roman"/>
          <w:color w:val="222222"/>
          <w:sz w:val="28"/>
          <w:szCs w:val="28"/>
          <w:shd w:val="clear" w:color="auto" w:fill="FFFFFF"/>
        </w:rPr>
        <w:t xml:space="preserve">io </w:t>
      </w:r>
      <w:r w:rsidR="00E412EE" w:rsidRPr="00C04B80">
        <w:rPr>
          <w:rFonts w:ascii="Times New Roman" w:hAnsi="Times New Roman" w:cs="Times New Roman"/>
          <w:color w:val="222222"/>
          <w:sz w:val="28"/>
          <w:szCs w:val="28"/>
          <w:shd w:val="clear" w:color="auto" w:fill="FFFFFF"/>
        </w:rPr>
        <w:t xml:space="preserve">internacional </w:t>
      </w:r>
      <w:r w:rsidR="00A9729F" w:rsidRPr="00C04B80">
        <w:rPr>
          <w:rFonts w:ascii="Times New Roman" w:hAnsi="Times New Roman" w:cs="Times New Roman"/>
          <w:color w:val="222222"/>
          <w:sz w:val="28"/>
          <w:szCs w:val="28"/>
          <w:shd w:val="clear" w:color="auto" w:fill="FFFFFF"/>
        </w:rPr>
        <w:t xml:space="preserve">de tecnologia destinado às </w:t>
      </w:r>
      <w:r w:rsidR="000032FE" w:rsidRPr="00C04B80">
        <w:rPr>
          <w:rFonts w:ascii="Times New Roman" w:hAnsi="Times New Roman" w:cs="Times New Roman"/>
          <w:color w:val="222222"/>
          <w:sz w:val="28"/>
          <w:szCs w:val="28"/>
          <w:shd w:val="clear" w:color="auto" w:fill="FFFFFF"/>
        </w:rPr>
        <w:t>pe</w:t>
      </w:r>
      <w:r w:rsidR="00A9729F" w:rsidRPr="00C04B80">
        <w:rPr>
          <w:rFonts w:ascii="Times New Roman" w:hAnsi="Times New Roman" w:cs="Times New Roman"/>
          <w:color w:val="222222"/>
          <w:sz w:val="28"/>
          <w:szCs w:val="28"/>
          <w:shd w:val="clear" w:color="auto" w:fill="FFFFFF"/>
        </w:rPr>
        <w:t>trolei</w:t>
      </w:r>
      <w:r w:rsidR="000032FE" w:rsidRPr="00C04B80">
        <w:rPr>
          <w:rFonts w:ascii="Times New Roman" w:hAnsi="Times New Roman" w:cs="Times New Roman"/>
          <w:color w:val="222222"/>
          <w:sz w:val="28"/>
          <w:szCs w:val="28"/>
          <w:shd w:val="clear" w:color="auto" w:fill="FFFFFF"/>
        </w:rPr>
        <w:t>r</w:t>
      </w:r>
      <w:r w:rsidR="00A9729F" w:rsidRPr="00C04B80">
        <w:rPr>
          <w:rFonts w:ascii="Times New Roman" w:hAnsi="Times New Roman" w:cs="Times New Roman"/>
          <w:color w:val="222222"/>
          <w:sz w:val="28"/>
          <w:szCs w:val="28"/>
          <w:shd w:val="clear" w:color="auto" w:fill="FFFFFF"/>
        </w:rPr>
        <w:t xml:space="preserve">as por causa dessa expertise em águas </w:t>
      </w:r>
      <w:r w:rsidR="000032FE" w:rsidRPr="00C04B80">
        <w:rPr>
          <w:rFonts w:ascii="Times New Roman" w:hAnsi="Times New Roman" w:cs="Times New Roman"/>
          <w:color w:val="222222"/>
          <w:sz w:val="28"/>
          <w:szCs w:val="28"/>
          <w:shd w:val="clear" w:color="auto" w:fill="FFFFFF"/>
        </w:rPr>
        <w:t>profundas e ul</w:t>
      </w:r>
      <w:r w:rsidR="00A9729F" w:rsidRPr="00C04B80">
        <w:rPr>
          <w:rFonts w:ascii="Times New Roman" w:hAnsi="Times New Roman" w:cs="Times New Roman"/>
          <w:color w:val="222222"/>
          <w:sz w:val="28"/>
          <w:szCs w:val="28"/>
          <w:shd w:val="clear" w:color="auto" w:fill="FFFFFF"/>
        </w:rPr>
        <w:t>traprofundas, única no mundo.</w:t>
      </w:r>
    </w:p>
    <w:p w:rsidR="0005109B" w:rsidRPr="00C04B80" w:rsidRDefault="003B64B0"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Com efeito, o pré-sal é</w:t>
      </w:r>
      <w:r w:rsidR="0005109B" w:rsidRPr="00C04B80">
        <w:rPr>
          <w:rFonts w:ascii="Times New Roman" w:hAnsi="Times New Roman" w:cs="Times New Roman"/>
          <w:color w:val="222222"/>
          <w:sz w:val="28"/>
          <w:szCs w:val="28"/>
          <w:shd w:val="clear" w:color="auto" w:fill="FFFFFF"/>
        </w:rPr>
        <w:t xml:space="preserve"> a maior descoberta mundial dos últimos 50 anos da indústria de petróleo e gás natural, estimando-se</w:t>
      </w:r>
      <w:r w:rsidRPr="00C04B80">
        <w:rPr>
          <w:rFonts w:ascii="Times New Roman" w:hAnsi="Times New Roman" w:cs="Times New Roman"/>
          <w:color w:val="222222"/>
          <w:sz w:val="28"/>
          <w:szCs w:val="28"/>
          <w:shd w:val="clear" w:color="auto" w:fill="FFFFFF"/>
        </w:rPr>
        <w:t>, de forma conservadora,</w:t>
      </w:r>
      <w:r w:rsidR="0005109B" w:rsidRPr="00C04B80">
        <w:rPr>
          <w:rFonts w:ascii="Times New Roman" w:hAnsi="Times New Roman" w:cs="Times New Roman"/>
          <w:color w:val="222222"/>
          <w:sz w:val="28"/>
          <w:szCs w:val="28"/>
          <w:shd w:val="clear" w:color="auto" w:fill="FFFFFF"/>
        </w:rPr>
        <w:t xml:space="preserve"> cerca de </w:t>
      </w:r>
      <w:r w:rsidR="0005109B" w:rsidRPr="00C04B80">
        <w:rPr>
          <w:rFonts w:ascii="Times New Roman" w:hAnsi="Times New Roman" w:cs="Times New Roman"/>
          <w:color w:val="222222"/>
          <w:sz w:val="28"/>
          <w:szCs w:val="28"/>
          <w:u w:val="single"/>
          <w:shd w:val="clear" w:color="auto" w:fill="FFFFFF"/>
        </w:rPr>
        <w:t>100 bilhões de barris recuperáveis</w:t>
      </w:r>
      <w:r w:rsidR="00AD0904" w:rsidRPr="00C04B80">
        <w:rPr>
          <w:rFonts w:ascii="Times New Roman" w:hAnsi="Times New Roman" w:cs="Times New Roman"/>
          <w:color w:val="222222"/>
          <w:sz w:val="28"/>
          <w:szCs w:val="28"/>
          <w:shd w:val="clear" w:color="auto" w:fill="FFFFFF"/>
        </w:rPr>
        <w:t xml:space="preserve"> nos campos do pré-sal. Outras estimativas</w:t>
      </w:r>
      <w:r w:rsidRPr="00C04B80">
        <w:rPr>
          <w:rFonts w:ascii="Times New Roman" w:hAnsi="Times New Roman" w:cs="Times New Roman"/>
          <w:color w:val="222222"/>
          <w:sz w:val="28"/>
          <w:szCs w:val="28"/>
          <w:shd w:val="clear" w:color="auto" w:fill="FFFFFF"/>
        </w:rPr>
        <w:t>, como a</w:t>
      </w:r>
      <w:r w:rsidR="00383D22" w:rsidRPr="00C04B80">
        <w:rPr>
          <w:rFonts w:ascii="Times New Roman" w:hAnsi="Times New Roman" w:cs="Times New Roman"/>
          <w:color w:val="222222"/>
          <w:sz w:val="28"/>
          <w:szCs w:val="28"/>
          <w:shd w:val="clear" w:color="auto" w:fill="FFFFFF"/>
        </w:rPr>
        <w:t xml:space="preserve"> </w:t>
      </w:r>
      <w:r w:rsidRPr="00C04B80">
        <w:rPr>
          <w:rFonts w:ascii="Times New Roman" w:hAnsi="Times New Roman" w:cs="Times New Roman"/>
          <w:color w:val="222222"/>
          <w:sz w:val="28"/>
          <w:szCs w:val="28"/>
          <w:shd w:val="clear" w:color="auto" w:fill="FFFFFF"/>
        </w:rPr>
        <w:t>realizada pela UERJ</w:t>
      </w:r>
      <w:r w:rsidR="00A3788E" w:rsidRPr="00C04B80">
        <w:rPr>
          <w:rFonts w:ascii="Times New Roman" w:hAnsi="Times New Roman" w:cs="Times New Roman"/>
          <w:color w:val="222222"/>
          <w:sz w:val="28"/>
          <w:szCs w:val="28"/>
          <w:shd w:val="clear" w:color="auto" w:fill="FFFFFF"/>
        </w:rPr>
        <w:t>,</w:t>
      </w:r>
      <w:r w:rsidRPr="00C04B80">
        <w:rPr>
          <w:rFonts w:ascii="Times New Roman" w:hAnsi="Times New Roman" w:cs="Times New Roman"/>
          <w:color w:val="222222"/>
          <w:sz w:val="28"/>
          <w:szCs w:val="28"/>
          <w:shd w:val="clear" w:color="auto" w:fill="FFFFFF"/>
        </w:rPr>
        <w:t xml:space="preserve"> </w:t>
      </w:r>
      <w:r w:rsidR="00383D22" w:rsidRPr="00C04B80">
        <w:rPr>
          <w:rFonts w:ascii="Times New Roman" w:hAnsi="Times New Roman" w:cs="Times New Roman"/>
          <w:color w:val="222222"/>
          <w:sz w:val="28"/>
          <w:szCs w:val="28"/>
          <w:shd w:val="clear" w:color="auto" w:fill="FFFFFF"/>
        </w:rPr>
        <w:t>avalia as reservas do pré-sal em pelo menos 180 bilhões de barris.</w:t>
      </w:r>
    </w:p>
    <w:p w:rsidR="00383D22" w:rsidRPr="00C04B80" w:rsidRDefault="003B3D97"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Observe-se que se trata de reservas </w:t>
      </w:r>
      <w:r w:rsidR="00193AD3" w:rsidRPr="00C04B80">
        <w:rPr>
          <w:rFonts w:ascii="Times New Roman" w:hAnsi="Times New Roman" w:cs="Times New Roman"/>
          <w:color w:val="222222"/>
          <w:sz w:val="28"/>
          <w:szCs w:val="28"/>
          <w:shd w:val="clear" w:color="auto" w:fill="FFFFFF"/>
        </w:rPr>
        <w:t xml:space="preserve">abundantes e </w:t>
      </w:r>
      <w:r w:rsidRPr="00C04B80">
        <w:rPr>
          <w:rFonts w:ascii="Times New Roman" w:hAnsi="Times New Roman" w:cs="Times New Roman"/>
          <w:color w:val="222222"/>
          <w:sz w:val="28"/>
          <w:szCs w:val="28"/>
          <w:shd w:val="clear" w:color="auto" w:fill="FFFFFF"/>
        </w:rPr>
        <w:t>provadas, sem risco exploratório</w:t>
      </w:r>
      <w:r w:rsidR="00AC65DD" w:rsidRPr="00C04B80">
        <w:rPr>
          <w:rFonts w:ascii="Times New Roman" w:hAnsi="Times New Roman" w:cs="Times New Roman"/>
          <w:color w:val="222222"/>
          <w:sz w:val="28"/>
          <w:szCs w:val="28"/>
          <w:shd w:val="clear" w:color="auto" w:fill="FFFFFF"/>
        </w:rPr>
        <w:t xml:space="preserve">. </w:t>
      </w:r>
      <w:r w:rsidR="009C7395" w:rsidRPr="00C04B80">
        <w:rPr>
          <w:rFonts w:ascii="Times New Roman" w:hAnsi="Times New Roman" w:cs="Times New Roman"/>
          <w:color w:val="222222"/>
          <w:sz w:val="28"/>
          <w:szCs w:val="28"/>
          <w:shd w:val="clear" w:color="auto" w:fill="FFFFFF"/>
        </w:rPr>
        <w:t>Assim, l</w:t>
      </w:r>
      <w:r w:rsidR="00AC65DD" w:rsidRPr="00C04B80">
        <w:rPr>
          <w:rFonts w:ascii="Times New Roman" w:hAnsi="Times New Roman" w:cs="Times New Roman"/>
          <w:color w:val="222222"/>
          <w:sz w:val="28"/>
          <w:szCs w:val="28"/>
          <w:shd w:val="clear" w:color="auto" w:fill="FFFFFF"/>
        </w:rPr>
        <w:t>eiloa</w:t>
      </w:r>
      <w:r w:rsidR="00EE44A6" w:rsidRPr="00C04B80">
        <w:rPr>
          <w:rFonts w:ascii="Times New Roman" w:hAnsi="Times New Roman" w:cs="Times New Roman"/>
          <w:color w:val="222222"/>
          <w:sz w:val="28"/>
          <w:szCs w:val="28"/>
          <w:shd w:val="clear" w:color="auto" w:fill="FFFFFF"/>
        </w:rPr>
        <w:t>r</w:t>
      </w:r>
      <w:r w:rsidR="00AC65DD" w:rsidRPr="00C04B80">
        <w:rPr>
          <w:rFonts w:ascii="Times New Roman" w:hAnsi="Times New Roman" w:cs="Times New Roman"/>
          <w:color w:val="222222"/>
          <w:sz w:val="28"/>
          <w:szCs w:val="28"/>
          <w:shd w:val="clear" w:color="auto" w:fill="FFFFFF"/>
        </w:rPr>
        <w:t xml:space="preserve"> lotes do pré-sal</w:t>
      </w:r>
      <w:r w:rsidR="00EE44A6" w:rsidRPr="00C04B80">
        <w:rPr>
          <w:rFonts w:ascii="Times New Roman" w:hAnsi="Times New Roman" w:cs="Times New Roman"/>
          <w:color w:val="222222"/>
          <w:sz w:val="28"/>
          <w:szCs w:val="28"/>
          <w:shd w:val="clear" w:color="auto" w:fill="FFFFFF"/>
        </w:rPr>
        <w:t xml:space="preserve"> </w:t>
      </w:r>
      <w:r w:rsidR="00AC65DD" w:rsidRPr="00C04B80">
        <w:rPr>
          <w:rFonts w:ascii="Times New Roman" w:hAnsi="Times New Roman" w:cs="Times New Roman"/>
          <w:color w:val="222222"/>
          <w:sz w:val="28"/>
          <w:szCs w:val="28"/>
          <w:shd w:val="clear" w:color="auto" w:fill="FFFFFF"/>
        </w:rPr>
        <w:t>é como leiloar bilhetes premiados de loterias.</w:t>
      </w:r>
    </w:p>
    <w:p w:rsidR="0028563C" w:rsidRPr="00C04B80" w:rsidRDefault="0028563C" w:rsidP="0005109B">
      <w:pPr>
        <w:jc w:val="both"/>
        <w:rPr>
          <w:rFonts w:ascii="Times New Roman" w:hAnsi="Times New Roman" w:cs="Times New Roman"/>
          <w:color w:val="222222"/>
          <w:sz w:val="28"/>
          <w:szCs w:val="28"/>
          <w:shd w:val="clear" w:color="auto" w:fill="FFFFFF"/>
        </w:rPr>
      </w:pPr>
    </w:p>
    <w:p w:rsidR="0028563C" w:rsidRPr="00C04B80" w:rsidRDefault="0028563C" w:rsidP="0005109B">
      <w:pPr>
        <w:jc w:val="both"/>
        <w:rPr>
          <w:rFonts w:ascii="Times New Roman" w:hAnsi="Times New Roman" w:cs="Times New Roman"/>
          <w:color w:val="222222"/>
          <w:sz w:val="28"/>
          <w:szCs w:val="28"/>
          <w:u w:val="single"/>
          <w:shd w:val="clear" w:color="auto" w:fill="FFFFFF"/>
        </w:rPr>
      </w:pPr>
      <w:r w:rsidRPr="00C04B80">
        <w:rPr>
          <w:rFonts w:ascii="Times New Roman" w:hAnsi="Times New Roman" w:cs="Times New Roman"/>
          <w:color w:val="222222"/>
          <w:sz w:val="28"/>
          <w:szCs w:val="28"/>
          <w:u w:val="single"/>
          <w:shd w:val="clear" w:color="auto" w:fill="FFFFFF"/>
        </w:rPr>
        <w:t>A Mudanças Ocorridas nos governos do PT</w:t>
      </w:r>
    </w:p>
    <w:p w:rsidR="0005109B" w:rsidRPr="00C04B80" w:rsidRDefault="00EE44A6"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No</w:t>
      </w:r>
      <w:r w:rsidR="0028563C" w:rsidRPr="00C04B80">
        <w:rPr>
          <w:rFonts w:ascii="Times New Roman" w:hAnsi="Times New Roman" w:cs="Times New Roman"/>
          <w:color w:val="222222"/>
          <w:sz w:val="28"/>
          <w:szCs w:val="28"/>
          <w:shd w:val="clear" w:color="auto" w:fill="FFFFFF"/>
        </w:rPr>
        <w:t>s</w:t>
      </w:r>
      <w:r w:rsidRPr="00C04B80">
        <w:rPr>
          <w:rFonts w:ascii="Times New Roman" w:hAnsi="Times New Roman" w:cs="Times New Roman"/>
          <w:color w:val="222222"/>
          <w:sz w:val="28"/>
          <w:szCs w:val="28"/>
          <w:shd w:val="clear" w:color="auto" w:fill="FFFFFF"/>
        </w:rPr>
        <w:t xml:space="preserve"> governo</w:t>
      </w:r>
      <w:r w:rsidR="0028563C" w:rsidRPr="00C04B80">
        <w:rPr>
          <w:rFonts w:ascii="Times New Roman" w:hAnsi="Times New Roman" w:cs="Times New Roman"/>
          <w:color w:val="222222"/>
          <w:sz w:val="28"/>
          <w:szCs w:val="28"/>
          <w:shd w:val="clear" w:color="auto" w:fill="FFFFFF"/>
        </w:rPr>
        <w:t>s</w:t>
      </w:r>
      <w:r w:rsidRPr="00C04B80">
        <w:rPr>
          <w:rFonts w:ascii="Times New Roman" w:hAnsi="Times New Roman" w:cs="Times New Roman"/>
          <w:color w:val="222222"/>
          <w:sz w:val="28"/>
          <w:szCs w:val="28"/>
          <w:shd w:val="clear" w:color="auto" w:fill="FFFFFF"/>
        </w:rPr>
        <w:t xml:space="preserve"> do PT, considerou-se, acertadamente</w:t>
      </w:r>
      <w:r w:rsidR="00EF6178" w:rsidRPr="00C04B80">
        <w:rPr>
          <w:rFonts w:ascii="Times New Roman" w:hAnsi="Times New Roman" w:cs="Times New Roman"/>
          <w:color w:val="222222"/>
          <w:sz w:val="28"/>
          <w:szCs w:val="28"/>
          <w:shd w:val="clear" w:color="auto" w:fill="FFFFFF"/>
        </w:rPr>
        <w:t>, que</w:t>
      </w:r>
      <w:r w:rsidR="0005109B" w:rsidRPr="00C04B80">
        <w:rPr>
          <w:rFonts w:ascii="Times New Roman" w:hAnsi="Times New Roman" w:cs="Times New Roman"/>
          <w:color w:val="222222"/>
          <w:sz w:val="28"/>
          <w:szCs w:val="28"/>
          <w:shd w:val="clear" w:color="auto" w:fill="FFFFFF"/>
        </w:rPr>
        <w:t xml:space="preserve"> </w:t>
      </w:r>
      <w:r w:rsidR="00EF6178" w:rsidRPr="00C04B80">
        <w:rPr>
          <w:rFonts w:ascii="Times New Roman" w:hAnsi="Times New Roman" w:cs="Times New Roman"/>
          <w:color w:val="222222"/>
          <w:sz w:val="28"/>
          <w:szCs w:val="28"/>
          <w:shd w:val="clear" w:color="auto" w:fill="FFFFFF"/>
        </w:rPr>
        <w:t xml:space="preserve">esses </w:t>
      </w:r>
      <w:r w:rsidR="0005109B" w:rsidRPr="00C04B80">
        <w:rPr>
          <w:rFonts w:ascii="Times New Roman" w:hAnsi="Times New Roman" w:cs="Times New Roman"/>
          <w:color w:val="222222"/>
          <w:sz w:val="28"/>
          <w:szCs w:val="28"/>
          <w:shd w:val="clear" w:color="auto" w:fill="FFFFFF"/>
        </w:rPr>
        <w:t xml:space="preserve">recursos naturais em abundância </w:t>
      </w:r>
      <w:r w:rsidR="00EF6178" w:rsidRPr="00C04B80">
        <w:rPr>
          <w:rFonts w:ascii="Times New Roman" w:hAnsi="Times New Roman" w:cs="Times New Roman"/>
          <w:color w:val="222222"/>
          <w:sz w:val="28"/>
          <w:szCs w:val="28"/>
          <w:shd w:val="clear" w:color="auto" w:fill="FFFFFF"/>
        </w:rPr>
        <w:t>fossem revertidos</w:t>
      </w:r>
      <w:r w:rsidR="0005109B" w:rsidRPr="00C04B80">
        <w:rPr>
          <w:rFonts w:ascii="Times New Roman" w:hAnsi="Times New Roman" w:cs="Times New Roman"/>
          <w:color w:val="222222"/>
          <w:sz w:val="28"/>
          <w:szCs w:val="28"/>
          <w:shd w:val="clear" w:color="auto" w:fill="FFFFFF"/>
        </w:rPr>
        <w:t xml:space="preserve"> em uma melhora nas condições de vida da população</w:t>
      </w:r>
      <w:r w:rsidR="00EF6178" w:rsidRPr="00C04B80">
        <w:rPr>
          <w:rFonts w:ascii="Times New Roman" w:hAnsi="Times New Roman" w:cs="Times New Roman"/>
          <w:color w:val="222222"/>
          <w:sz w:val="28"/>
          <w:szCs w:val="28"/>
          <w:shd w:val="clear" w:color="auto" w:fill="FFFFFF"/>
        </w:rPr>
        <w:t xml:space="preserve"> e no desenvolvimento da economia brasileira como um todo</w:t>
      </w:r>
      <w:r w:rsidR="0005109B" w:rsidRPr="00C04B80">
        <w:rPr>
          <w:rFonts w:ascii="Times New Roman" w:hAnsi="Times New Roman" w:cs="Times New Roman"/>
          <w:color w:val="222222"/>
          <w:sz w:val="28"/>
          <w:szCs w:val="28"/>
          <w:shd w:val="clear" w:color="auto" w:fill="FFFFFF"/>
        </w:rPr>
        <w:t xml:space="preserve">, sobretudo por meio de </w:t>
      </w:r>
      <w:r w:rsidR="0005109B" w:rsidRPr="00C04B80">
        <w:rPr>
          <w:rFonts w:ascii="Times New Roman" w:hAnsi="Times New Roman" w:cs="Times New Roman"/>
          <w:color w:val="222222"/>
          <w:sz w:val="28"/>
          <w:szCs w:val="28"/>
          <w:u w:val="single"/>
          <w:shd w:val="clear" w:color="auto" w:fill="FFFFFF"/>
        </w:rPr>
        <w:t>políticas industriais e de conteúdo local</w:t>
      </w:r>
      <w:r w:rsidR="0000391C" w:rsidRPr="00C04B80">
        <w:rPr>
          <w:rFonts w:ascii="Times New Roman" w:hAnsi="Times New Roman" w:cs="Times New Roman"/>
          <w:color w:val="222222"/>
          <w:sz w:val="28"/>
          <w:szCs w:val="28"/>
          <w:shd w:val="clear" w:color="auto" w:fill="FFFFFF"/>
        </w:rPr>
        <w:t xml:space="preserve">, </w:t>
      </w:r>
      <w:r w:rsidR="0000391C" w:rsidRPr="00C04B80">
        <w:rPr>
          <w:rFonts w:ascii="Times New Roman" w:hAnsi="Times New Roman" w:cs="Times New Roman"/>
          <w:color w:val="222222"/>
          <w:sz w:val="28"/>
          <w:szCs w:val="28"/>
          <w:shd w:val="clear" w:color="auto" w:fill="FFFFFF"/>
        </w:rPr>
        <w:lastRenderedPageBreak/>
        <w:t>que e</w:t>
      </w:r>
      <w:r w:rsidR="00D12A6B" w:rsidRPr="00C04B80">
        <w:rPr>
          <w:rFonts w:ascii="Times New Roman" w:hAnsi="Times New Roman" w:cs="Times New Roman"/>
          <w:color w:val="222222"/>
          <w:sz w:val="28"/>
          <w:szCs w:val="28"/>
          <w:shd w:val="clear" w:color="auto" w:fill="FFFFFF"/>
        </w:rPr>
        <w:t>struturassem uma cadeia de petró</w:t>
      </w:r>
      <w:r w:rsidR="00916626" w:rsidRPr="00C04B80">
        <w:rPr>
          <w:rFonts w:ascii="Times New Roman" w:hAnsi="Times New Roman" w:cs="Times New Roman"/>
          <w:color w:val="222222"/>
          <w:sz w:val="28"/>
          <w:szCs w:val="28"/>
          <w:shd w:val="clear" w:color="auto" w:fill="FFFFFF"/>
        </w:rPr>
        <w:t>leo e gás robusta</w:t>
      </w:r>
      <w:r w:rsidR="0000391C" w:rsidRPr="00C04B80">
        <w:rPr>
          <w:rFonts w:ascii="Times New Roman" w:hAnsi="Times New Roman" w:cs="Times New Roman"/>
          <w:color w:val="222222"/>
          <w:sz w:val="28"/>
          <w:szCs w:val="28"/>
          <w:shd w:val="clear" w:color="auto" w:fill="FFFFFF"/>
        </w:rPr>
        <w:t xml:space="preserve">, e </w:t>
      </w:r>
      <w:r w:rsidR="0000391C" w:rsidRPr="00C04B80">
        <w:rPr>
          <w:rFonts w:ascii="Times New Roman" w:hAnsi="Times New Roman" w:cs="Times New Roman"/>
          <w:color w:val="222222"/>
          <w:sz w:val="28"/>
          <w:szCs w:val="28"/>
          <w:u w:val="single"/>
          <w:shd w:val="clear" w:color="auto" w:fill="FFFFFF"/>
        </w:rPr>
        <w:t>pela canalização dos royalties para educação</w:t>
      </w:r>
      <w:r w:rsidR="00D12A6B" w:rsidRPr="00C04B80">
        <w:rPr>
          <w:rFonts w:ascii="Times New Roman" w:hAnsi="Times New Roman" w:cs="Times New Roman"/>
          <w:color w:val="222222"/>
          <w:sz w:val="28"/>
          <w:szCs w:val="28"/>
          <w:u w:val="single"/>
          <w:shd w:val="clear" w:color="auto" w:fill="FFFFFF"/>
        </w:rPr>
        <w:t xml:space="preserve"> e saúde,</w:t>
      </w:r>
      <w:r w:rsidR="00D12A6B" w:rsidRPr="00C04B80">
        <w:rPr>
          <w:rFonts w:ascii="Times New Roman" w:hAnsi="Times New Roman" w:cs="Times New Roman"/>
          <w:color w:val="222222"/>
          <w:sz w:val="28"/>
          <w:szCs w:val="28"/>
          <w:shd w:val="clear" w:color="auto" w:fill="FFFFFF"/>
        </w:rPr>
        <w:t xml:space="preserve"> numa pers</w:t>
      </w:r>
      <w:r w:rsidR="0000391C" w:rsidRPr="00C04B80">
        <w:rPr>
          <w:rFonts w:ascii="Times New Roman" w:hAnsi="Times New Roman" w:cs="Times New Roman"/>
          <w:color w:val="222222"/>
          <w:sz w:val="28"/>
          <w:szCs w:val="28"/>
          <w:shd w:val="clear" w:color="auto" w:fill="FFFFFF"/>
        </w:rPr>
        <w:t>p</w:t>
      </w:r>
      <w:r w:rsidR="00D12A6B" w:rsidRPr="00C04B80">
        <w:rPr>
          <w:rFonts w:ascii="Times New Roman" w:hAnsi="Times New Roman" w:cs="Times New Roman"/>
          <w:color w:val="222222"/>
          <w:sz w:val="28"/>
          <w:szCs w:val="28"/>
          <w:shd w:val="clear" w:color="auto" w:fill="FFFFFF"/>
        </w:rPr>
        <w:t>e</w:t>
      </w:r>
      <w:r w:rsidR="0005257A" w:rsidRPr="00C04B80">
        <w:rPr>
          <w:rFonts w:ascii="Times New Roman" w:hAnsi="Times New Roman" w:cs="Times New Roman"/>
          <w:color w:val="222222"/>
          <w:sz w:val="28"/>
          <w:szCs w:val="28"/>
          <w:shd w:val="clear" w:color="auto" w:fill="FFFFFF"/>
        </w:rPr>
        <w:t>ctiv</w:t>
      </w:r>
      <w:r w:rsidR="0000391C" w:rsidRPr="00C04B80">
        <w:rPr>
          <w:rFonts w:ascii="Times New Roman" w:hAnsi="Times New Roman" w:cs="Times New Roman"/>
          <w:color w:val="222222"/>
          <w:sz w:val="28"/>
          <w:szCs w:val="28"/>
          <w:shd w:val="clear" w:color="auto" w:fill="FFFFFF"/>
        </w:rPr>
        <w:t xml:space="preserve">a </w:t>
      </w:r>
      <w:r w:rsidR="00D12A6B" w:rsidRPr="00C04B80">
        <w:rPr>
          <w:rFonts w:ascii="Times New Roman" w:hAnsi="Times New Roman" w:cs="Times New Roman"/>
          <w:color w:val="222222"/>
          <w:sz w:val="28"/>
          <w:szCs w:val="28"/>
          <w:shd w:val="clear" w:color="auto" w:fill="FFFFFF"/>
        </w:rPr>
        <w:t>interger</w:t>
      </w:r>
      <w:r w:rsidR="0005257A" w:rsidRPr="00C04B80">
        <w:rPr>
          <w:rFonts w:ascii="Times New Roman" w:hAnsi="Times New Roman" w:cs="Times New Roman"/>
          <w:color w:val="222222"/>
          <w:sz w:val="28"/>
          <w:szCs w:val="28"/>
          <w:shd w:val="clear" w:color="auto" w:fill="FFFFFF"/>
        </w:rPr>
        <w:t>acional que assegu</w:t>
      </w:r>
      <w:r w:rsidR="00D12A6B" w:rsidRPr="00C04B80">
        <w:rPr>
          <w:rFonts w:ascii="Times New Roman" w:hAnsi="Times New Roman" w:cs="Times New Roman"/>
          <w:color w:val="222222"/>
          <w:sz w:val="28"/>
          <w:szCs w:val="28"/>
          <w:shd w:val="clear" w:color="auto" w:fill="FFFFFF"/>
        </w:rPr>
        <w:t>r</w:t>
      </w:r>
      <w:r w:rsidR="0005257A" w:rsidRPr="00C04B80">
        <w:rPr>
          <w:rFonts w:ascii="Times New Roman" w:hAnsi="Times New Roman" w:cs="Times New Roman"/>
          <w:color w:val="222222"/>
          <w:sz w:val="28"/>
          <w:szCs w:val="28"/>
          <w:shd w:val="clear" w:color="auto" w:fill="FFFFFF"/>
        </w:rPr>
        <w:t>a</w:t>
      </w:r>
      <w:r w:rsidR="00D12A6B" w:rsidRPr="00C04B80">
        <w:rPr>
          <w:rFonts w:ascii="Times New Roman" w:hAnsi="Times New Roman" w:cs="Times New Roman"/>
          <w:color w:val="222222"/>
          <w:sz w:val="28"/>
          <w:szCs w:val="28"/>
          <w:shd w:val="clear" w:color="auto" w:fill="FFFFFF"/>
        </w:rPr>
        <w:t>sse a qualificação da nossa mão de obra e a construção de um</w:t>
      </w:r>
      <w:r w:rsidR="00916626" w:rsidRPr="00C04B80">
        <w:rPr>
          <w:rFonts w:ascii="Times New Roman" w:hAnsi="Times New Roman" w:cs="Times New Roman"/>
          <w:color w:val="222222"/>
          <w:sz w:val="28"/>
          <w:szCs w:val="28"/>
          <w:shd w:val="clear" w:color="auto" w:fill="FFFFFF"/>
        </w:rPr>
        <w:t>a</w:t>
      </w:r>
      <w:r w:rsidR="00D12A6B" w:rsidRPr="00C04B80">
        <w:rPr>
          <w:rFonts w:ascii="Times New Roman" w:hAnsi="Times New Roman" w:cs="Times New Roman"/>
          <w:color w:val="222222"/>
          <w:sz w:val="28"/>
          <w:szCs w:val="28"/>
          <w:shd w:val="clear" w:color="auto" w:fill="FFFFFF"/>
        </w:rPr>
        <w:t xml:space="preserve"> sociedade</w:t>
      </w:r>
      <w:r w:rsidR="0005257A" w:rsidRPr="00C04B80">
        <w:rPr>
          <w:rFonts w:ascii="Times New Roman" w:hAnsi="Times New Roman" w:cs="Times New Roman"/>
          <w:color w:val="222222"/>
          <w:sz w:val="28"/>
          <w:szCs w:val="28"/>
          <w:shd w:val="clear" w:color="auto" w:fill="FFFFFF"/>
        </w:rPr>
        <w:t xml:space="preserve"> de conhecimento em noss</w:t>
      </w:r>
      <w:r w:rsidR="00D12A6B" w:rsidRPr="00C04B80">
        <w:rPr>
          <w:rFonts w:ascii="Times New Roman" w:hAnsi="Times New Roman" w:cs="Times New Roman"/>
          <w:color w:val="222222"/>
          <w:sz w:val="28"/>
          <w:szCs w:val="28"/>
          <w:shd w:val="clear" w:color="auto" w:fill="FFFFFF"/>
        </w:rPr>
        <w:t>o</w:t>
      </w:r>
      <w:r w:rsidR="0005257A" w:rsidRPr="00C04B80">
        <w:rPr>
          <w:rFonts w:ascii="Times New Roman" w:hAnsi="Times New Roman" w:cs="Times New Roman"/>
          <w:color w:val="222222"/>
          <w:sz w:val="28"/>
          <w:szCs w:val="28"/>
          <w:shd w:val="clear" w:color="auto" w:fill="FFFFFF"/>
        </w:rPr>
        <w:t xml:space="preserve"> país</w:t>
      </w:r>
      <w:r w:rsidR="00D12A6B" w:rsidRPr="00C04B80">
        <w:rPr>
          <w:rFonts w:ascii="Times New Roman" w:hAnsi="Times New Roman" w:cs="Times New Roman"/>
          <w:color w:val="222222"/>
          <w:sz w:val="28"/>
          <w:szCs w:val="28"/>
          <w:shd w:val="clear" w:color="auto" w:fill="FFFFFF"/>
        </w:rPr>
        <w:t>.</w:t>
      </w:r>
      <w:r w:rsidR="0005109B" w:rsidRPr="00C04B80">
        <w:rPr>
          <w:rFonts w:ascii="Times New Roman" w:hAnsi="Times New Roman" w:cs="Times New Roman"/>
          <w:color w:val="222222"/>
          <w:sz w:val="28"/>
          <w:szCs w:val="28"/>
          <w:shd w:val="clear" w:color="auto" w:fill="FFFFFF"/>
        </w:rPr>
        <w:t xml:space="preserve"> Do contrário, o aumento das exportações de recursos naturais pode implicar valorização da moeda e redução da competitividade da indústria nacional, </w:t>
      </w:r>
      <w:r w:rsidR="009D774F" w:rsidRPr="00C04B80">
        <w:rPr>
          <w:rFonts w:ascii="Times New Roman" w:hAnsi="Times New Roman" w:cs="Times New Roman"/>
          <w:color w:val="222222"/>
          <w:sz w:val="28"/>
          <w:szCs w:val="28"/>
          <w:shd w:val="clear" w:color="auto" w:fill="FFFFFF"/>
        </w:rPr>
        <w:t>diminuindo a geração de emprego</w:t>
      </w:r>
      <w:r w:rsidR="0051749F" w:rsidRPr="00C04B80">
        <w:rPr>
          <w:rFonts w:ascii="Times New Roman" w:hAnsi="Times New Roman" w:cs="Times New Roman"/>
          <w:color w:val="222222"/>
          <w:sz w:val="28"/>
          <w:szCs w:val="28"/>
          <w:shd w:val="clear" w:color="auto" w:fill="FFFFFF"/>
        </w:rPr>
        <w:t xml:space="preserve"> e impedindo a industrialização do país</w:t>
      </w:r>
      <w:r w:rsidR="009D774F" w:rsidRPr="00C04B80">
        <w:rPr>
          <w:rFonts w:ascii="Times New Roman" w:hAnsi="Times New Roman" w:cs="Times New Roman"/>
          <w:color w:val="222222"/>
          <w:sz w:val="28"/>
          <w:szCs w:val="28"/>
          <w:shd w:val="clear" w:color="auto" w:fill="FFFFFF"/>
        </w:rPr>
        <w:t>,</w:t>
      </w:r>
      <w:r w:rsidR="00916626" w:rsidRPr="00C04B80">
        <w:rPr>
          <w:rFonts w:ascii="Times New Roman" w:hAnsi="Times New Roman" w:cs="Times New Roman"/>
          <w:color w:val="222222"/>
          <w:sz w:val="28"/>
          <w:szCs w:val="28"/>
          <w:shd w:val="clear" w:color="auto" w:fill="FFFFFF"/>
        </w:rPr>
        <w:t xml:space="preserve"> num processo definido como </w:t>
      </w:r>
      <w:r w:rsidR="009D774F" w:rsidRPr="00C04B80">
        <w:rPr>
          <w:rFonts w:ascii="Times New Roman" w:hAnsi="Times New Roman" w:cs="Times New Roman"/>
          <w:color w:val="222222"/>
          <w:sz w:val="28"/>
          <w:szCs w:val="28"/>
          <w:shd w:val="clear" w:color="auto" w:fill="FFFFFF"/>
        </w:rPr>
        <w:t>“</w:t>
      </w:r>
      <w:r w:rsidR="00916626" w:rsidRPr="00C04B80">
        <w:rPr>
          <w:rFonts w:ascii="Times New Roman" w:hAnsi="Times New Roman" w:cs="Times New Roman"/>
          <w:color w:val="222222"/>
          <w:sz w:val="28"/>
          <w:szCs w:val="28"/>
          <w:shd w:val="clear" w:color="auto" w:fill="FFFFFF"/>
        </w:rPr>
        <w:t>doença holandesa</w:t>
      </w:r>
      <w:r w:rsidR="009D774F" w:rsidRPr="00C04B80">
        <w:rPr>
          <w:rFonts w:ascii="Times New Roman" w:hAnsi="Times New Roman" w:cs="Times New Roman"/>
          <w:color w:val="222222"/>
          <w:sz w:val="28"/>
          <w:szCs w:val="28"/>
          <w:shd w:val="clear" w:color="auto" w:fill="FFFFFF"/>
        </w:rPr>
        <w:t>”</w:t>
      </w:r>
      <w:r w:rsidR="00916626" w:rsidRPr="00C04B80">
        <w:rPr>
          <w:rFonts w:ascii="Times New Roman" w:hAnsi="Times New Roman" w:cs="Times New Roman"/>
          <w:color w:val="222222"/>
          <w:sz w:val="28"/>
          <w:szCs w:val="28"/>
          <w:shd w:val="clear" w:color="auto" w:fill="FFFFFF"/>
        </w:rPr>
        <w:t>, que infelicit</w:t>
      </w:r>
      <w:r w:rsidR="007239FC" w:rsidRPr="00C04B80">
        <w:rPr>
          <w:rFonts w:ascii="Times New Roman" w:hAnsi="Times New Roman" w:cs="Times New Roman"/>
          <w:color w:val="222222"/>
          <w:sz w:val="28"/>
          <w:szCs w:val="28"/>
          <w:shd w:val="clear" w:color="auto" w:fill="FFFFFF"/>
        </w:rPr>
        <w:t>ou</w:t>
      </w:r>
      <w:r w:rsidR="0051749F" w:rsidRPr="00C04B80">
        <w:rPr>
          <w:rFonts w:ascii="Times New Roman" w:hAnsi="Times New Roman" w:cs="Times New Roman"/>
          <w:color w:val="222222"/>
          <w:sz w:val="28"/>
          <w:szCs w:val="28"/>
          <w:shd w:val="clear" w:color="auto" w:fill="FFFFFF"/>
        </w:rPr>
        <w:t xml:space="preserve"> e infelicita </w:t>
      </w:r>
      <w:r w:rsidR="007239FC" w:rsidRPr="00C04B80">
        <w:rPr>
          <w:rFonts w:ascii="Times New Roman" w:hAnsi="Times New Roman" w:cs="Times New Roman"/>
          <w:color w:val="222222"/>
          <w:sz w:val="28"/>
          <w:szCs w:val="28"/>
          <w:shd w:val="clear" w:color="auto" w:fill="FFFFFF"/>
        </w:rPr>
        <w:t>várias economias com abundâ</w:t>
      </w:r>
      <w:r w:rsidR="00916626" w:rsidRPr="00C04B80">
        <w:rPr>
          <w:rFonts w:ascii="Times New Roman" w:hAnsi="Times New Roman" w:cs="Times New Roman"/>
          <w:color w:val="222222"/>
          <w:sz w:val="28"/>
          <w:szCs w:val="28"/>
          <w:shd w:val="clear" w:color="auto" w:fill="FFFFFF"/>
        </w:rPr>
        <w:t>ncia de recurs</w:t>
      </w:r>
      <w:r w:rsidR="007239FC" w:rsidRPr="00C04B80">
        <w:rPr>
          <w:rFonts w:ascii="Times New Roman" w:hAnsi="Times New Roman" w:cs="Times New Roman"/>
          <w:color w:val="222222"/>
          <w:sz w:val="28"/>
          <w:szCs w:val="28"/>
          <w:shd w:val="clear" w:color="auto" w:fill="FFFFFF"/>
        </w:rPr>
        <w:t>os naturais.</w:t>
      </w:r>
    </w:p>
    <w:p w:rsidR="00DE4142" w:rsidRPr="00C04B80" w:rsidRDefault="00DE4142"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É curioso constatar que, entre os 15 maiores exportadores mundiais de petróleo, apenas um tem lugar de destaque no ranking do IDH da ONU: a Noruega, que ocupa a segunda colocação. O resto não figura sequer entre os 30 primeiros, sendo que a maioria está abaixo da 50ª posição. Ademais, as economias desses países ainda são, em geral, pouco diversificadas e fortemente dependentes das divisas do petróleo. Trata-se de verdadeira tragédia que condena tais nações a um futuro incerto, já que o petróleo é recurso não-renovável.</w:t>
      </w:r>
    </w:p>
    <w:p w:rsidR="007239FC" w:rsidRPr="00C04B80" w:rsidRDefault="007239FC"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Com </w:t>
      </w:r>
      <w:r w:rsidR="00DE4142" w:rsidRPr="00C04B80">
        <w:rPr>
          <w:rFonts w:ascii="Times New Roman" w:hAnsi="Times New Roman" w:cs="Times New Roman"/>
          <w:color w:val="222222"/>
          <w:sz w:val="28"/>
          <w:szCs w:val="28"/>
          <w:shd w:val="clear" w:color="auto" w:fill="FFFFFF"/>
        </w:rPr>
        <w:t>o intuito de evitar esse destino desastroso</w:t>
      </w:r>
      <w:r w:rsidR="00BF7125" w:rsidRPr="00C04B80">
        <w:rPr>
          <w:rFonts w:ascii="Times New Roman" w:hAnsi="Times New Roman" w:cs="Times New Roman"/>
          <w:color w:val="222222"/>
          <w:sz w:val="28"/>
          <w:szCs w:val="28"/>
          <w:shd w:val="clear" w:color="auto" w:fill="FFFFFF"/>
        </w:rPr>
        <w:t>, os governo</w:t>
      </w:r>
      <w:r w:rsidR="00193AD3" w:rsidRPr="00C04B80">
        <w:rPr>
          <w:rFonts w:ascii="Times New Roman" w:hAnsi="Times New Roman" w:cs="Times New Roman"/>
          <w:color w:val="222222"/>
          <w:sz w:val="28"/>
          <w:szCs w:val="28"/>
          <w:shd w:val="clear" w:color="auto" w:fill="FFFFFF"/>
        </w:rPr>
        <w:t>s</w:t>
      </w:r>
      <w:r w:rsidR="00BF7125" w:rsidRPr="00C04B80">
        <w:rPr>
          <w:rFonts w:ascii="Times New Roman" w:hAnsi="Times New Roman" w:cs="Times New Roman"/>
          <w:color w:val="222222"/>
          <w:sz w:val="28"/>
          <w:szCs w:val="28"/>
          <w:shd w:val="clear" w:color="auto" w:fill="FFFFFF"/>
        </w:rPr>
        <w:t xml:space="preserve"> do PT</w:t>
      </w:r>
      <w:r w:rsidRPr="00C04B80">
        <w:rPr>
          <w:rFonts w:ascii="Times New Roman" w:hAnsi="Times New Roman" w:cs="Times New Roman"/>
          <w:color w:val="222222"/>
          <w:sz w:val="28"/>
          <w:szCs w:val="28"/>
          <w:shd w:val="clear" w:color="auto" w:fill="FFFFFF"/>
        </w:rPr>
        <w:t xml:space="preserve"> </w:t>
      </w:r>
      <w:r w:rsidR="00BF7125" w:rsidRPr="00C04B80">
        <w:rPr>
          <w:rFonts w:ascii="Times New Roman" w:hAnsi="Times New Roman" w:cs="Times New Roman"/>
          <w:color w:val="222222"/>
          <w:sz w:val="28"/>
          <w:szCs w:val="28"/>
          <w:shd w:val="clear" w:color="auto" w:fill="FFFFFF"/>
        </w:rPr>
        <w:t>mudaram o marco regulatório do petróleo</w:t>
      </w:r>
      <w:r w:rsidR="00193AD3" w:rsidRPr="00C04B80">
        <w:rPr>
          <w:rFonts w:ascii="Times New Roman" w:hAnsi="Times New Roman" w:cs="Times New Roman"/>
          <w:color w:val="222222"/>
          <w:sz w:val="28"/>
          <w:szCs w:val="28"/>
          <w:shd w:val="clear" w:color="auto" w:fill="FFFFFF"/>
        </w:rPr>
        <w:t>, pois ele não mais se adequa</w:t>
      </w:r>
      <w:r w:rsidR="002452A3" w:rsidRPr="00C04B80">
        <w:rPr>
          <w:rFonts w:ascii="Times New Roman" w:hAnsi="Times New Roman" w:cs="Times New Roman"/>
          <w:color w:val="222222"/>
          <w:sz w:val="28"/>
          <w:szCs w:val="28"/>
          <w:shd w:val="clear" w:color="auto" w:fill="FFFFFF"/>
        </w:rPr>
        <w:t>va à</w:t>
      </w:r>
      <w:r w:rsidR="00193AD3" w:rsidRPr="00C04B80">
        <w:rPr>
          <w:rFonts w:ascii="Times New Roman" w:hAnsi="Times New Roman" w:cs="Times New Roman"/>
          <w:color w:val="222222"/>
          <w:sz w:val="28"/>
          <w:szCs w:val="28"/>
          <w:shd w:val="clear" w:color="auto" w:fill="FFFFFF"/>
        </w:rPr>
        <w:t xml:space="preserve"> nova realidade do pré-sal. </w:t>
      </w:r>
    </w:p>
    <w:p w:rsidR="00A6179E" w:rsidRPr="00C04B80" w:rsidRDefault="00A6179E" w:rsidP="00A6179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Esse marco regulatório antigo desempenhou papel positivo no desenvolvimento da indústria de petróleo brasileira. Porém, é forçoso reconhecer que as condições do país à época de sua constituição eram bem diferentes das prevalentes hoje. Naquele tempo, o país não tinha crédito, o risco exploratório era altíssimo, os campos eram muito pequenos e o preço do barril de petróleo estava em cerca de US$ 10 dólares. Acertadamente, transferiu-se o risco para as empresas, mediante contratos de concessão. Hoje, entretanto, o Brasil tem </w:t>
      </w:r>
      <w:r w:rsidR="000B2824" w:rsidRPr="00C04B80">
        <w:rPr>
          <w:rFonts w:ascii="Times New Roman" w:hAnsi="Times New Roman" w:cs="Times New Roman"/>
          <w:color w:val="222222"/>
          <w:sz w:val="28"/>
          <w:szCs w:val="28"/>
          <w:shd w:val="clear" w:color="auto" w:fill="FFFFFF"/>
        </w:rPr>
        <w:t>amplas reservas pro</w:t>
      </w:r>
      <w:r w:rsidR="009A3748" w:rsidRPr="00C04B80">
        <w:rPr>
          <w:rFonts w:ascii="Times New Roman" w:hAnsi="Times New Roman" w:cs="Times New Roman"/>
          <w:color w:val="222222"/>
          <w:sz w:val="28"/>
          <w:szCs w:val="28"/>
          <w:shd w:val="clear" w:color="auto" w:fill="FFFFFF"/>
        </w:rPr>
        <w:t xml:space="preserve">vadas e sem risco exploratório </w:t>
      </w:r>
      <w:r w:rsidR="000B2824" w:rsidRPr="00C04B80">
        <w:rPr>
          <w:rFonts w:ascii="Times New Roman" w:hAnsi="Times New Roman" w:cs="Times New Roman"/>
          <w:color w:val="222222"/>
          <w:sz w:val="28"/>
          <w:szCs w:val="28"/>
          <w:shd w:val="clear" w:color="auto" w:fill="FFFFFF"/>
        </w:rPr>
        <w:t xml:space="preserve">e </w:t>
      </w:r>
      <w:r w:rsidRPr="00C04B80">
        <w:rPr>
          <w:rFonts w:ascii="Times New Roman" w:hAnsi="Times New Roman" w:cs="Times New Roman"/>
          <w:color w:val="222222"/>
          <w:sz w:val="28"/>
          <w:szCs w:val="28"/>
          <w:shd w:val="clear" w:color="auto" w:fill="FFFFFF"/>
        </w:rPr>
        <w:t>o preço do barril é</w:t>
      </w:r>
      <w:r w:rsidR="000B2824" w:rsidRPr="00C04B80">
        <w:rPr>
          <w:rFonts w:ascii="Times New Roman" w:hAnsi="Times New Roman" w:cs="Times New Roman"/>
          <w:color w:val="222222"/>
          <w:sz w:val="28"/>
          <w:szCs w:val="28"/>
          <w:shd w:val="clear" w:color="auto" w:fill="FFFFFF"/>
        </w:rPr>
        <w:t>, mesmo com a</w:t>
      </w:r>
      <w:r w:rsidR="009A3748" w:rsidRPr="00C04B80">
        <w:rPr>
          <w:rFonts w:ascii="Times New Roman" w:hAnsi="Times New Roman" w:cs="Times New Roman"/>
          <w:color w:val="222222"/>
          <w:sz w:val="28"/>
          <w:szCs w:val="28"/>
          <w:shd w:val="clear" w:color="auto" w:fill="FFFFFF"/>
        </w:rPr>
        <w:t xml:space="preserve"> </w:t>
      </w:r>
      <w:r w:rsidR="000B2824" w:rsidRPr="00C04B80">
        <w:rPr>
          <w:rFonts w:ascii="Times New Roman" w:hAnsi="Times New Roman" w:cs="Times New Roman"/>
          <w:color w:val="222222"/>
          <w:sz w:val="28"/>
          <w:szCs w:val="28"/>
          <w:shd w:val="clear" w:color="auto" w:fill="FFFFFF"/>
        </w:rPr>
        <w:t xml:space="preserve">diminuição recente, </w:t>
      </w:r>
      <w:r w:rsidR="00136F49" w:rsidRPr="00C04B80">
        <w:rPr>
          <w:rFonts w:ascii="Times New Roman" w:hAnsi="Times New Roman" w:cs="Times New Roman"/>
          <w:color w:val="222222"/>
          <w:sz w:val="28"/>
          <w:szCs w:val="28"/>
          <w:shd w:val="clear" w:color="auto" w:fill="FFFFFF"/>
        </w:rPr>
        <w:t xml:space="preserve">cerca de </w:t>
      </w:r>
      <w:r w:rsidR="000B2824" w:rsidRPr="00C04B80">
        <w:rPr>
          <w:rFonts w:ascii="Times New Roman" w:hAnsi="Times New Roman" w:cs="Times New Roman"/>
          <w:color w:val="222222"/>
          <w:sz w:val="28"/>
          <w:szCs w:val="28"/>
          <w:shd w:val="clear" w:color="auto" w:fill="FFFFFF"/>
        </w:rPr>
        <w:t>6</w:t>
      </w:r>
      <w:r w:rsidRPr="00C04B80">
        <w:rPr>
          <w:rFonts w:ascii="Times New Roman" w:hAnsi="Times New Roman" w:cs="Times New Roman"/>
          <w:color w:val="222222"/>
          <w:sz w:val="28"/>
          <w:szCs w:val="28"/>
          <w:shd w:val="clear" w:color="auto" w:fill="FFFFFF"/>
        </w:rPr>
        <w:t xml:space="preserve"> vezes maior. Mudou-se da água para o vinho, ou da água para o óleo.</w:t>
      </w:r>
    </w:p>
    <w:p w:rsidR="00A6179E" w:rsidRPr="00C04B80" w:rsidRDefault="00BE1EA7" w:rsidP="00A6179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Ante mudança de tal magnitude</w:t>
      </w:r>
      <w:r w:rsidR="00225E72" w:rsidRPr="00C04B80">
        <w:rPr>
          <w:rFonts w:ascii="Times New Roman" w:hAnsi="Times New Roman" w:cs="Times New Roman"/>
          <w:color w:val="222222"/>
          <w:sz w:val="28"/>
          <w:szCs w:val="28"/>
          <w:shd w:val="clear" w:color="auto" w:fill="FFFFFF"/>
        </w:rPr>
        <w:t>,</w:t>
      </w:r>
      <w:r w:rsidRPr="00C04B80">
        <w:rPr>
          <w:rFonts w:ascii="Times New Roman" w:hAnsi="Times New Roman" w:cs="Times New Roman"/>
          <w:color w:val="222222"/>
          <w:sz w:val="28"/>
          <w:szCs w:val="28"/>
          <w:shd w:val="clear" w:color="auto" w:fill="FFFFFF"/>
        </w:rPr>
        <w:t xml:space="preserve"> </w:t>
      </w:r>
      <w:r w:rsidR="00225E72" w:rsidRPr="00C04B80">
        <w:rPr>
          <w:rFonts w:ascii="Times New Roman" w:hAnsi="Times New Roman" w:cs="Times New Roman"/>
          <w:color w:val="222222"/>
          <w:sz w:val="28"/>
          <w:szCs w:val="28"/>
          <w:shd w:val="clear" w:color="auto" w:fill="FFFFFF"/>
        </w:rPr>
        <w:t>passou</w:t>
      </w:r>
      <w:r w:rsidRPr="00C04B80">
        <w:rPr>
          <w:rFonts w:ascii="Times New Roman" w:hAnsi="Times New Roman" w:cs="Times New Roman"/>
          <w:color w:val="222222"/>
          <w:sz w:val="28"/>
          <w:szCs w:val="28"/>
          <w:shd w:val="clear" w:color="auto" w:fill="FFFFFF"/>
        </w:rPr>
        <w:t xml:space="preserve">-se </w:t>
      </w:r>
      <w:r w:rsidR="00225E72" w:rsidRPr="00C04B80">
        <w:rPr>
          <w:rFonts w:ascii="Times New Roman" w:hAnsi="Times New Roman" w:cs="Times New Roman"/>
          <w:color w:val="222222"/>
          <w:sz w:val="28"/>
          <w:szCs w:val="28"/>
          <w:shd w:val="clear" w:color="auto" w:fill="FFFFFF"/>
        </w:rPr>
        <w:t>d</w:t>
      </w:r>
      <w:r w:rsidRPr="00C04B80">
        <w:rPr>
          <w:rFonts w:ascii="Times New Roman" w:hAnsi="Times New Roman" w:cs="Times New Roman"/>
          <w:color w:val="222222"/>
          <w:sz w:val="28"/>
          <w:szCs w:val="28"/>
          <w:shd w:val="clear" w:color="auto" w:fill="FFFFFF"/>
        </w:rPr>
        <w:t>o regime de concessão para o regime de partilha</w:t>
      </w:r>
      <w:r w:rsidR="00A6179E" w:rsidRPr="00C04B80">
        <w:rPr>
          <w:rFonts w:ascii="Times New Roman" w:hAnsi="Times New Roman" w:cs="Times New Roman"/>
          <w:color w:val="222222"/>
          <w:sz w:val="28"/>
          <w:szCs w:val="28"/>
          <w:shd w:val="clear" w:color="auto" w:fill="FFFFFF"/>
        </w:rPr>
        <w:t xml:space="preserve"> ou joint ventures. A diferença não é banal. Ela implica escolha </w:t>
      </w:r>
      <w:r w:rsidRPr="00C04B80">
        <w:rPr>
          <w:rFonts w:ascii="Times New Roman" w:hAnsi="Times New Roman" w:cs="Times New Roman"/>
          <w:color w:val="222222"/>
          <w:sz w:val="28"/>
          <w:szCs w:val="28"/>
          <w:shd w:val="clear" w:color="auto" w:fill="FFFFFF"/>
        </w:rPr>
        <w:t>estratégica de profundas consequ</w:t>
      </w:r>
      <w:r w:rsidR="00A6179E" w:rsidRPr="00C04B80">
        <w:rPr>
          <w:rFonts w:ascii="Times New Roman" w:hAnsi="Times New Roman" w:cs="Times New Roman"/>
          <w:color w:val="222222"/>
          <w:sz w:val="28"/>
          <w:szCs w:val="28"/>
          <w:shd w:val="clear" w:color="auto" w:fill="FFFFFF"/>
        </w:rPr>
        <w:t xml:space="preserve">ências. No regime de concessões, o óleo, uma vez começado o processo de retirada do subsolo, passa a pertencer à empresa concessionária. No regime de partilha, a União mantém a propriedade do petróleo. Nesse último caso, o Estado tem flexibilidade muito maior para planejar e efetuar os investimentos que </w:t>
      </w:r>
      <w:r w:rsidR="00A6179E" w:rsidRPr="00C04B80">
        <w:rPr>
          <w:rFonts w:ascii="Times New Roman" w:hAnsi="Times New Roman" w:cs="Times New Roman"/>
          <w:color w:val="222222"/>
          <w:sz w:val="28"/>
          <w:szCs w:val="28"/>
          <w:shd w:val="clear" w:color="auto" w:fill="FFFFFF"/>
        </w:rPr>
        <w:lastRenderedPageBreak/>
        <w:t xml:space="preserve">considere prioritários ao desenvolvimento sustentado, assim como para estabelecer o ritmo da exploração. </w:t>
      </w:r>
    </w:p>
    <w:p w:rsidR="003D68F5" w:rsidRPr="00C04B80" w:rsidRDefault="003D68F5"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Outra mudança significativa foi ter transformado a Petrobras em operadora única do pré</w:t>
      </w:r>
      <w:r w:rsidR="004F257B" w:rsidRPr="00C04B80">
        <w:rPr>
          <w:rFonts w:ascii="Times New Roman" w:hAnsi="Times New Roman" w:cs="Times New Roman"/>
          <w:color w:val="222222"/>
          <w:sz w:val="28"/>
          <w:szCs w:val="28"/>
          <w:shd w:val="clear" w:color="auto" w:fill="FFFFFF"/>
        </w:rPr>
        <w:t>-s</w:t>
      </w:r>
      <w:r w:rsidRPr="00C04B80">
        <w:rPr>
          <w:rFonts w:ascii="Times New Roman" w:hAnsi="Times New Roman" w:cs="Times New Roman"/>
          <w:color w:val="222222"/>
          <w:sz w:val="28"/>
          <w:szCs w:val="28"/>
          <w:shd w:val="clear" w:color="auto" w:fill="FFFFFF"/>
        </w:rPr>
        <w:t>al</w:t>
      </w:r>
      <w:r w:rsidR="004F257B" w:rsidRPr="00C04B80">
        <w:rPr>
          <w:rFonts w:ascii="Times New Roman" w:hAnsi="Times New Roman" w:cs="Times New Roman"/>
          <w:color w:val="222222"/>
          <w:sz w:val="28"/>
          <w:szCs w:val="28"/>
          <w:shd w:val="clear" w:color="auto" w:fill="FFFFFF"/>
        </w:rPr>
        <w:t>.</w:t>
      </w:r>
    </w:p>
    <w:p w:rsidR="007D5DFD" w:rsidRPr="00C04B80" w:rsidRDefault="007D5DFD"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Com efeito, o domínio estratégico que os países produtores e exportadores exercem sobre o petróleo se assenta, além da nacionalização das jazidas, em dois grandes pilares complementares: o regime de partilha</w:t>
      </w:r>
      <w:r w:rsidR="00FE38F2" w:rsidRPr="00C04B80">
        <w:rPr>
          <w:rFonts w:ascii="Times New Roman" w:hAnsi="Times New Roman" w:cs="Times New Roman"/>
          <w:color w:val="222222"/>
          <w:sz w:val="28"/>
          <w:szCs w:val="28"/>
          <w:shd w:val="clear" w:color="auto" w:fill="FFFFFF"/>
        </w:rPr>
        <w:t xml:space="preserve">, já referido aqui, </w:t>
      </w:r>
      <w:r w:rsidRPr="00C04B80">
        <w:rPr>
          <w:rFonts w:ascii="Times New Roman" w:hAnsi="Times New Roman" w:cs="Times New Roman"/>
          <w:color w:val="222222"/>
          <w:sz w:val="28"/>
          <w:szCs w:val="28"/>
          <w:shd w:val="clear" w:color="auto" w:fill="FFFFFF"/>
        </w:rPr>
        <w:t>e grandes operadoras nacionais.</w:t>
      </w:r>
    </w:p>
    <w:p w:rsidR="00FE38F2" w:rsidRPr="00C04B80" w:rsidRDefault="00FE38F2" w:rsidP="00FE38F2">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Quando os países produtores decidiram nacionalizar as suas jazidas, revolucionando o mercado mundial de petróleo, que antes era inteiramente dominado pelas multinacionais dos países desenvolvidos, eles se preocuparam também em constituir grandes operadoras nacionais. Por quê?</w:t>
      </w:r>
    </w:p>
    <w:p w:rsidR="00FE38F2" w:rsidRPr="00C04B80" w:rsidRDefault="00FE38F2" w:rsidP="00FE38F2">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Porque eles sabiam que, sem uma grande operadora, eles não teriam efetivo acesso às informações cruciais sobre as suas jazidas, como as relacionadas aos custos efetivos de produção, às remunerações devidas, ao verdadeiro potencial das áreas prospectadas. Ora, não se tem domínio estratégico do petróleo sem o domínio dessa informação. Ademais, sem operar é impossível desenvolver tecnologia própria. Também não se tem domínio estratégico do petróleo sem domínio mínimo de tecnologia.  Não bastasse, sem operadora local é impossível se estimular cadeias nacionais de produção, gerando renda e emprego para população. </w:t>
      </w:r>
    </w:p>
    <w:p w:rsidR="00FE38F2" w:rsidRPr="00C04B80" w:rsidRDefault="00FE38F2" w:rsidP="00FE38F2">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O resultado é que, hoje, ao contrário do que acontecia até a década de 60, as maiores empresas de petróleo e gás do mundo são estatais. São as chamadas </w:t>
      </w:r>
      <w:proofErr w:type="spellStart"/>
      <w:r w:rsidRPr="00C04B80">
        <w:rPr>
          <w:rFonts w:ascii="Times New Roman" w:hAnsi="Times New Roman" w:cs="Times New Roman"/>
          <w:color w:val="222222"/>
          <w:sz w:val="28"/>
          <w:szCs w:val="28"/>
          <w:shd w:val="clear" w:color="auto" w:fill="FFFFFF"/>
        </w:rPr>
        <w:t>national</w:t>
      </w:r>
      <w:proofErr w:type="spellEnd"/>
      <w:r w:rsidRPr="00C04B80">
        <w:rPr>
          <w:rFonts w:ascii="Times New Roman" w:hAnsi="Times New Roman" w:cs="Times New Roman"/>
          <w:color w:val="222222"/>
          <w:sz w:val="28"/>
          <w:szCs w:val="28"/>
          <w:shd w:val="clear" w:color="auto" w:fill="FFFFFF"/>
        </w:rPr>
        <w:t xml:space="preserve"> </w:t>
      </w:r>
      <w:proofErr w:type="spellStart"/>
      <w:r w:rsidRPr="00C04B80">
        <w:rPr>
          <w:rFonts w:ascii="Times New Roman" w:hAnsi="Times New Roman" w:cs="Times New Roman"/>
          <w:color w:val="222222"/>
          <w:sz w:val="28"/>
          <w:szCs w:val="28"/>
          <w:shd w:val="clear" w:color="auto" w:fill="FFFFFF"/>
        </w:rPr>
        <w:t>oil</w:t>
      </w:r>
      <w:proofErr w:type="spellEnd"/>
      <w:r w:rsidRPr="00C04B80">
        <w:rPr>
          <w:rFonts w:ascii="Times New Roman" w:hAnsi="Times New Roman" w:cs="Times New Roman"/>
          <w:color w:val="222222"/>
          <w:sz w:val="28"/>
          <w:szCs w:val="28"/>
          <w:shd w:val="clear" w:color="auto" w:fill="FFFFFF"/>
        </w:rPr>
        <w:t xml:space="preserve"> </w:t>
      </w:r>
      <w:proofErr w:type="spellStart"/>
      <w:r w:rsidRPr="00C04B80">
        <w:rPr>
          <w:rFonts w:ascii="Times New Roman" w:hAnsi="Times New Roman" w:cs="Times New Roman"/>
          <w:color w:val="222222"/>
          <w:sz w:val="28"/>
          <w:szCs w:val="28"/>
          <w:shd w:val="clear" w:color="auto" w:fill="FFFFFF"/>
        </w:rPr>
        <w:t>companies</w:t>
      </w:r>
      <w:proofErr w:type="spellEnd"/>
      <w:r w:rsidRPr="00C04B80">
        <w:rPr>
          <w:rFonts w:ascii="Times New Roman" w:hAnsi="Times New Roman" w:cs="Times New Roman"/>
          <w:color w:val="222222"/>
          <w:sz w:val="28"/>
          <w:szCs w:val="28"/>
          <w:shd w:val="clear" w:color="auto" w:fill="FFFFFF"/>
        </w:rPr>
        <w:t xml:space="preserve"> (</w:t>
      </w:r>
      <w:proofErr w:type="spellStart"/>
      <w:r w:rsidRPr="00C04B80">
        <w:rPr>
          <w:rFonts w:ascii="Times New Roman" w:hAnsi="Times New Roman" w:cs="Times New Roman"/>
          <w:color w:val="222222"/>
          <w:sz w:val="28"/>
          <w:szCs w:val="28"/>
          <w:shd w:val="clear" w:color="auto" w:fill="FFFFFF"/>
        </w:rPr>
        <w:t>NOCs</w:t>
      </w:r>
      <w:proofErr w:type="spellEnd"/>
      <w:r w:rsidRPr="00C04B80">
        <w:rPr>
          <w:rFonts w:ascii="Times New Roman" w:hAnsi="Times New Roman" w:cs="Times New Roman"/>
          <w:color w:val="222222"/>
          <w:sz w:val="28"/>
          <w:szCs w:val="28"/>
          <w:shd w:val="clear" w:color="auto" w:fill="FFFFFF"/>
        </w:rPr>
        <w:t xml:space="preserve">). Entre elas, estão a </w:t>
      </w:r>
      <w:proofErr w:type="spellStart"/>
      <w:r w:rsidRPr="00C04B80">
        <w:rPr>
          <w:rFonts w:ascii="Times New Roman" w:hAnsi="Times New Roman" w:cs="Times New Roman"/>
          <w:color w:val="222222"/>
          <w:sz w:val="28"/>
          <w:szCs w:val="28"/>
          <w:shd w:val="clear" w:color="auto" w:fill="FFFFFF"/>
        </w:rPr>
        <w:t>Saudi</w:t>
      </w:r>
      <w:proofErr w:type="spellEnd"/>
      <w:r w:rsidRPr="00C04B80">
        <w:rPr>
          <w:rFonts w:ascii="Times New Roman" w:hAnsi="Times New Roman" w:cs="Times New Roman"/>
          <w:color w:val="222222"/>
          <w:sz w:val="28"/>
          <w:szCs w:val="28"/>
          <w:shd w:val="clear" w:color="auto" w:fill="FFFFFF"/>
        </w:rPr>
        <w:t xml:space="preserve"> </w:t>
      </w:r>
      <w:proofErr w:type="spellStart"/>
      <w:r w:rsidRPr="00C04B80">
        <w:rPr>
          <w:rFonts w:ascii="Times New Roman" w:hAnsi="Times New Roman" w:cs="Times New Roman"/>
          <w:color w:val="222222"/>
          <w:sz w:val="28"/>
          <w:szCs w:val="28"/>
          <w:shd w:val="clear" w:color="auto" w:fill="FFFFFF"/>
        </w:rPr>
        <w:t>Aramco</w:t>
      </w:r>
      <w:proofErr w:type="spellEnd"/>
      <w:r w:rsidRPr="00C04B80">
        <w:rPr>
          <w:rFonts w:ascii="Times New Roman" w:hAnsi="Times New Roman" w:cs="Times New Roman"/>
          <w:color w:val="222222"/>
          <w:sz w:val="28"/>
          <w:szCs w:val="28"/>
          <w:shd w:val="clear" w:color="auto" w:fill="FFFFFF"/>
        </w:rPr>
        <w:t xml:space="preserve"> (Arábia Saudita), a NIOC (Irã), a KPC (Kuwait), a ADNOC (Abu Dhabi), a Gazprom (Rússia), a CNPC (China), a PDVSA (Venezuela), a Statoil (Noruega), a Petronas (Malásia), a NNPC (Nigéria), a </w:t>
      </w:r>
      <w:proofErr w:type="spellStart"/>
      <w:r w:rsidRPr="00C04B80">
        <w:rPr>
          <w:rFonts w:ascii="Times New Roman" w:hAnsi="Times New Roman" w:cs="Times New Roman"/>
          <w:color w:val="222222"/>
          <w:sz w:val="28"/>
          <w:szCs w:val="28"/>
          <w:shd w:val="clear" w:color="auto" w:fill="FFFFFF"/>
        </w:rPr>
        <w:t>Sonangol</w:t>
      </w:r>
      <w:proofErr w:type="spellEnd"/>
      <w:r w:rsidRPr="00C04B80">
        <w:rPr>
          <w:rFonts w:ascii="Times New Roman" w:hAnsi="Times New Roman" w:cs="Times New Roman"/>
          <w:color w:val="222222"/>
          <w:sz w:val="28"/>
          <w:szCs w:val="28"/>
          <w:shd w:val="clear" w:color="auto" w:fill="FFFFFF"/>
        </w:rPr>
        <w:t xml:space="preserve"> (Angola), a </w:t>
      </w:r>
      <w:proofErr w:type="spellStart"/>
      <w:r w:rsidRPr="00C04B80">
        <w:rPr>
          <w:rFonts w:ascii="Times New Roman" w:hAnsi="Times New Roman" w:cs="Times New Roman"/>
          <w:color w:val="222222"/>
          <w:sz w:val="28"/>
          <w:szCs w:val="28"/>
          <w:shd w:val="clear" w:color="auto" w:fill="FFFFFF"/>
        </w:rPr>
        <w:t>Pemex</w:t>
      </w:r>
      <w:proofErr w:type="spellEnd"/>
      <w:r w:rsidRPr="00C04B80">
        <w:rPr>
          <w:rFonts w:ascii="Times New Roman" w:hAnsi="Times New Roman" w:cs="Times New Roman"/>
          <w:color w:val="222222"/>
          <w:sz w:val="28"/>
          <w:szCs w:val="28"/>
          <w:shd w:val="clear" w:color="auto" w:fill="FFFFFF"/>
        </w:rPr>
        <w:t xml:space="preserve"> (México) e a Petrobras. </w:t>
      </w:r>
    </w:p>
    <w:p w:rsidR="00FE38F2" w:rsidRPr="00C04B80" w:rsidRDefault="00FE38F2" w:rsidP="00FE38F2">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Numa estimativa bem conservadora, feita em 2008, antes do pré-sal ser bem conhecido, as </w:t>
      </w:r>
      <w:proofErr w:type="spellStart"/>
      <w:r w:rsidRPr="00C04B80">
        <w:rPr>
          <w:rFonts w:ascii="Times New Roman" w:hAnsi="Times New Roman" w:cs="Times New Roman"/>
          <w:color w:val="222222"/>
          <w:sz w:val="28"/>
          <w:szCs w:val="28"/>
          <w:shd w:val="clear" w:color="auto" w:fill="FFFFFF"/>
        </w:rPr>
        <w:t>NOCs</w:t>
      </w:r>
      <w:proofErr w:type="spellEnd"/>
      <w:r w:rsidRPr="00C04B80">
        <w:rPr>
          <w:rFonts w:ascii="Times New Roman" w:hAnsi="Times New Roman" w:cs="Times New Roman"/>
          <w:color w:val="222222"/>
          <w:sz w:val="28"/>
          <w:szCs w:val="28"/>
          <w:shd w:val="clear" w:color="auto" w:fill="FFFFFF"/>
        </w:rPr>
        <w:t xml:space="preserve"> já dominavam 73% das reservas provadas de petróleo do mundo e respondiam por 61% da produção de óleo. Segundo a Agência Internacional de Energia, a tendência é a de que as </w:t>
      </w:r>
      <w:proofErr w:type="spellStart"/>
      <w:r w:rsidRPr="00C04B80">
        <w:rPr>
          <w:rFonts w:ascii="Times New Roman" w:hAnsi="Times New Roman" w:cs="Times New Roman"/>
          <w:color w:val="222222"/>
          <w:sz w:val="28"/>
          <w:szCs w:val="28"/>
          <w:shd w:val="clear" w:color="auto" w:fill="FFFFFF"/>
        </w:rPr>
        <w:t>NOCs</w:t>
      </w:r>
      <w:proofErr w:type="spellEnd"/>
      <w:r w:rsidRPr="00C04B80">
        <w:rPr>
          <w:rFonts w:ascii="Times New Roman" w:hAnsi="Times New Roman" w:cs="Times New Roman"/>
          <w:color w:val="222222"/>
          <w:sz w:val="28"/>
          <w:szCs w:val="28"/>
          <w:shd w:val="clear" w:color="auto" w:fill="FFFFFF"/>
        </w:rPr>
        <w:t xml:space="preserve"> sejam responsáveis por 80% da produção adicional de petróleo e gás até 2030, pois elas dominam as reservas. </w:t>
      </w:r>
    </w:p>
    <w:p w:rsidR="00FE38F2" w:rsidRPr="00C04B80" w:rsidRDefault="00FE38F2" w:rsidP="00FE38F2">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Essa é a realidade do mercado mundial do petróleo.</w:t>
      </w:r>
      <w:r w:rsidR="00845F5E" w:rsidRPr="00C04B80">
        <w:rPr>
          <w:rFonts w:ascii="Times New Roman" w:hAnsi="Times New Roman" w:cs="Times New Roman"/>
          <w:color w:val="222222"/>
          <w:sz w:val="28"/>
          <w:szCs w:val="28"/>
          <w:shd w:val="clear" w:color="auto" w:fill="FFFFFF"/>
        </w:rPr>
        <w:t xml:space="preserve"> O governo do golpe colocou o Brasil na contramão dessa realidade.</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lastRenderedPageBreak/>
        <w:t xml:space="preserve">Ao se retirar da Petrobras a condição de operadora única, se retira também essa garantia fundamental e se investe em sua fragilização e em sua possível privatização. </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Mas a questão essencial aqui não é simplesmente proteger a Petrobras. É proteger os interesses do Brasil. A participação da Petrobras no pré-sal deve</w:t>
      </w:r>
      <w:r w:rsidR="00127B90" w:rsidRPr="00C04B80">
        <w:rPr>
          <w:rFonts w:ascii="Times New Roman" w:hAnsi="Times New Roman" w:cs="Times New Roman"/>
          <w:color w:val="222222"/>
          <w:sz w:val="28"/>
          <w:szCs w:val="28"/>
          <w:shd w:val="clear" w:color="auto" w:fill="FFFFFF"/>
        </w:rPr>
        <w:t>ria</w:t>
      </w:r>
      <w:r w:rsidRPr="00C04B80">
        <w:rPr>
          <w:rFonts w:ascii="Times New Roman" w:hAnsi="Times New Roman" w:cs="Times New Roman"/>
          <w:color w:val="222222"/>
          <w:sz w:val="28"/>
          <w:szCs w:val="28"/>
          <w:shd w:val="clear" w:color="auto" w:fill="FFFFFF"/>
        </w:rPr>
        <w:t xml:space="preserve"> ser assegurada e protegida porque isso é crucial para o desenvolvimento brasileiro. </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A cadeia de petróleo e gás, comandada pela Petrobras, é a maior cadeia produtiva do país, responsável por cerca de 20% do PIB brasileiro e 15% dos empregos gerados. </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Tal cadeia é sustentada por uma política de conteúdo nacional, implantada no primeiro governo Lula, que gera demanda robusta em setores-chave como o da construção civil pesada e a indústria naval, só para citar alguns poucos. Em 2000, a indústria náutica e os estaleiros empregavam no Brasil somente 1.910 pessoas. Em 2014, mesmo com a crise, esse setor já empregava mais de 82.000 pessoas. </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Pois bem, tal cadeia produtiva não se sustentará e não se desenvolverá sem a Petrobras como operadora do pré-sal. Por quê?</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Porque empresas multinacionais demandam insumos e serviços fundamentalmente em seus países de origem. A Chevron ou a Shell não comprarão navios, plataformas, sondas, ou qualquer outra coisa no Brasil. </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Sem a Petrobras como grande operadora não se sustentará também o desenvolvimento de tecnologia nacional nessa área estratégica. A tecnologia se desenvolve na operação e para a operação. Foi operando que a Petrobras se transformou na empresa que detém a mais avançada tecnologia de prospecção e exploração de petróleo em águas profundas e ultraprofundas, ganhadora, por três vezes, </w:t>
      </w:r>
      <w:r w:rsidR="00531825" w:rsidRPr="00C04B80">
        <w:rPr>
          <w:rFonts w:ascii="Times New Roman" w:hAnsi="Times New Roman" w:cs="Times New Roman"/>
          <w:color w:val="222222"/>
          <w:sz w:val="28"/>
          <w:szCs w:val="28"/>
          <w:shd w:val="clear" w:color="auto" w:fill="FFFFFF"/>
        </w:rPr>
        <w:t>d</w:t>
      </w:r>
      <w:r w:rsidRPr="00C04B80">
        <w:rPr>
          <w:rFonts w:ascii="Times New Roman" w:hAnsi="Times New Roman" w:cs="Times New Roman"/>
          <w:color w:val="222222"/>
          <w:sz w:val="28"/>
          <w:szCs w:val="28"/>
          <w:shd w:val="clear" w:color="auto" w:fill="FFFFFF"/>
        </w:rPr>
        <w:t xml:space="preserve">o OTC </w:t>
      </w:r>
      <w:proofErr w:type="spellStart"/>
      <w:r w:rsidRPr="00C04B80">
        <w:rPr>
          <w:rFonts w:ascii="Times New Roman" w:hAnsi="Times New Roman" w:cs="Times New Roman"/>
          <w:color w:val="222222"/>
          <w:sz w:val="28"/>
          <w:szCs w:val="28"/>
          <w:shd w:val="clear" w:color="auto" w:fill="FFFFFF"/>
        </w:rPr>
        <w:t>Distinguished</w:t>
      </w:r>
      <w:proofErr w:type="spellEnd"/>
      <w:r w:rsidRPr="00C04B80">
        <w:rPr>
          <w:rFonts w:ascii="Times New Roman" w:hAnsi="Times New Roman" w:cs="Times New Roman"/>
          <w:color w:val="222222"/>
          <w:sz w:val="28"/>
          <w:szCs w:val="28"/>
          <w:shd w:val="clear" w:color="auto" w:fill="FFFFFF"/>
        </w:rPr>
        <w:t xml:space="preserve"> </w:t>
      </w:r>
      <w:proofErr w:type="spellStart"/>
      <w:r w:rsidRPr="00C04B80">
        <w:rPr>
          <w:rFonts w:ascii="Times New Roman" w:hAnsi="Times New Roman" w:cs="Times New Roman"/>
          <w:color w:val="222222"/>
          <w:sz w:val="28"/>
          <w:szCs w:val="28"/>
          <w:shd w:val="clear" w:color="auto" w:fill="FFFFFF"/>
        </w:rPr>
        <w:t>Achievement</w:t>
      </w:r>
      <w:proofErr w:type="spellEnd"/>
      <w:r w:rsidRPr="00C04B80">
        <w:rPr>
          <w:rFonts w:ascii="Times New Roman" w:hAnsi="Times New Roman" w:cs="Times New Roman"/>
          <w:color w:val="222222"/>
          <w:sz w:val="28"/>
          <w:szCs w:val="28"/>
          <w:shd w:val="clear" w:color="auto" w:fill="FFFFFF"/>
        </w:rPr>
        <w:t xml:space="preserve"> </w:t>
      </w:r>
      <w:proofErr w:type="spellStart"/>
      <w:r w:rsidRPr="00C04B80">
        <w:rPr>
          <w:rFonts w:ascii="Times New Roman" w:hAnsi="Times New Roman" w:cs="Times New Roman"/>
          <w:color w:val="222222"/>
          <w:sz w:val="28"/>
          <w:szCs w:val="28"/>
          <w:shd w:val="clear" w:color="auto" w:fill="FFFFFF"/>
        </w:rPr>
        <w:t>Award</w:t>
      </w:r>
      <w:proofErr w:type="spellEnd"/>
      <w:r w:rsidRPr="00C04B80">
        <w:rPr>
          <w:rFonts w:ascii="Times New Roman" w:hAnsi="Times New Roman" w:cs="Times New Roman"/>
          <w:color w:val="222222"/>
          <w:sz w:val="28"/>
          <w:szCs w:val="28"/>
          <w:shd w:val="clear" w:color="auto" w:fill="FFFFFF"/>
        </w:rPr>
        <w:t>, maior prêmio internacional concedido às empresas de petróleo que se distinguem em desenvolvimento tecnológico. Todo</w:t>
      </w:r>
      <w:r w:rsidR="00127B90" w:rsidRPr="00C04B80">
        <w:rPr>
          <w:rFonts w:ascii="Times New Roman" w:hAnsi="Times New Roman" w:cs="Times New Roman"/>
          <w:color w:val="222222"/>
          <w:sz w:val="28"/>
          <w:szCs w:val="28"/>
          <w:shd w:val="clear" w:color="auto" w:fill="FFFFFF"/>
        </w:rPr>
        <w:t xml:space="preserve"> esse capital estratégico dever</w:t>
      </w:r>
      <w:r w:rsidR="00A854BA" w:rsidRPr="00C04B80">
        <w:rPr>
          <w:rFonts w:ascii="Times New Roman" w:hAnsi="Times New Roman" w:cs="Times New Roman"/>
          <w:color w:val="222222"/>
          <w:sz w:val="28"/>
          <w:szCs w:val="28"/>
          <w:shd w:val="clear" w:color="auto" w:fill="FFFFFF"/>
        </w:rPr>
        <w:t>á</w:t>
      </w:r>
      <w:r w:rsidRPr="00C04B80">
        <w:rPr>
          <w:rFonts w:ascii="Times New Roman" w:hAnsi="Times New Roman" w:cs="Times New Roman"/>
          <w:color w:val="222222"/>
          <w:sz w:val="28"/>
          <w:szCs w:val="28"/>
          <w:shd w:val="clear" w:color="auto" w:fill="FFFFFF"/>
        </w:rPr>
        <w:t xml:space="preserve"> se esfumar, caso a Petrobras seja retirada do pré-sal.</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Sem a Petrobras como grande operadora, não se sustentará a alavancagem de nosso desenvolvimento com a riqueza desse recurso extraordinário que é o pré-sal. Poderemos até vender mais rapidamente petróleo cru. Mas isso não contribuirá para nosso desenvolvimento. Ao contrário, essa lógica imediatista e predatória poderá nos conduzir à temível </w:t>
      </w:r>
      <w:r w:rsidR="00531825" w:rsidRPr="00C04B80">
        <w:rPr>
          <w:rFonts w:ascii="Times New Roman" w:hAnsi="Times New Roman" w:cs="Times New Roman"/>
          <w:color w:val="222222"/>
          <w:sz w:val="28"/>
          <w:szCs w:val="28"/>
          <w:shd w:val="clear" w:color="auto" w:fill="FFFFFF"/>
        </w:rPr>
        <w:t xml:space="preserve">e já referida </w:t>
      </w:r>
      <w:r w:rsidRPr="00C04B80">
        <w:rPr>
          <w:rFonts w:ascii="Times New Roman" w:hAnsi="Times New Roman" w:cs="Times New Roman"/>
          <w:color w:val="222222"/>
          <w:sz w:val="28"/>
          <w:szCs w:val="28"/>
          <w:shd w:val="clear" w:color="auto" w:fill="FFFFFF"/>
        </w:rPr>
        <w:t xml:space="preserve">doença holandesa, caracterizada pelo consumo perdulário de bens de consumo </w:t>
      </w:r>
      <w:r w:rsidRPr="00C04B80">
        <w:rPr>
          <w:rFonts w:ascii="Times New Roman" w:hAnsi="Times New Roman" w:cs="Times New Roman"/>
          <w:color w:val="222222"/>
          <w:sz w:val="28"/>
          <w:szCs w:val="28"/>
          <w:shd w:val="clear" w:color="auto" w:fill="FFFFFF"/>
        </w:rPr>
        <w:lastRenderedPageBreak/>
        <w:t xml:space="preserve">importados e pela apreciação artificial da moeda que extermina a produção local. </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Sem a Petrobras como grande operadora, o financiamento da Educação e da Saúde com os royalties do petróleo também fica também parcialmente comprometido.</w:t>
      </w:r>
      <w:r w:rsidR="00920733" w:rsidRPr="00C04B80">
        <w:rPr>
          <w:rFonts w:ascii="Times New Roman" w:hAnsi="Times New Roman" w:cs="Times New Roman"/>
          <w:color w:val="222222"/>
          <w:sz w:val="28"/>
          <w:szCs w:val="28"/>
          <w:shd w:val="clear" w:color="auto" w:fill="FFFFFF"/>
        </w:rPr>
        <w:t xml:space="preserve"> </w:t>
      </w:r>
      <w:r w:rsidR="001158C8" w:rsidRPr="00C04B80">
        <w:rPr>
          <w:rFonts w:ascii="Times New Roman" w:hAnsi="Times New Roman" w:cs="Times New Roman"/>
          <w:color w:val="222222"/>
          <w:sz w:val="28"/>
          <w:szCs w:val="28"/>
          <w:shd w:val="clear" w:color="auto" w:fill="FFFFFF"/>
        </w:rPr>
        <w:t>Com a mudança de regras, o</w:t>
      </w:r>
      <w:r w:rsidR="00920733" w:rsidRPr="00C04B80">
        <w:rPr>
          <w:rFonts w:ascii="Times New Roman" w:hAnsi="Times New Roman" w:cs="Times New Roman"/>
          <w:color w:val="222222"/>
          <w:sz w:val="28"/>
          <w:szCs w:val="28"/>
          <w:shd w:val="clear" w:color="auto" w:fill="FFFFFF"/>
        </w:rPr>
        <w:t xml:space="preserve"> Brasil tem menor controle sobre custos, pois a Petrobras opera com custos inferiores a seus concorrentes, de modo que o excedente em óleo diminuirá, impactando o Fundo Social e, portanto, os recursos para educação e saúde.</w:t>
      </w:r>
    </w:p>
    <w:p w:rsidR="00845F5E" w:rsidRPr="00C04B80" w:rsidRDefault="00845F5E" w:rsidP="00845F5E">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Em suma, sem a Petrobras como grande operadora, nosso futuro fica comprometido.</w:t>
      </w:r>
    </w:p>
    <w:p w:rsidR="006A5A73" w:rsidRPr="00C04B80" w:rsidRDefault="006A5A73" w:rsidP="00FE38F2">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Complementando, a Petrobras como operadora única do Pré-sal, o</w:t>
      </w:r>
      <w:r w:rsidR="00671537" w:rsidRPr="00C04B80">
        <w:rPr>
          <w:rFonts w:ascii="Times New Roman" w:hAnsi="Times New Roman" w:cs="Times New Roman"/>
          <w:color w:val="222222"/>
          <w:sz w:val="28"/>
          <w:szCs w:val="28"/>
          <w:shd w:val="clear" w:color="auto" w:fill="FFFFFF"/>
        </w:rPr>
        <w:t>s</w:t>
      </w:r>
      <w:r w:rsidRPr="00C04B80">
        <w:rPr>
          <w:rFonts w:ascii="Times New Roman" w:hAnsi="Times New Roman" w:cs="Times New Roman"/>
          <w:color w:val="222222"/>
          <w:sz w:val="28"/>
          <w:szCs w:val="28"/>
          <w:shd w:val="clear" w:color="auto" w:fill="FFFFFF"/>
        </w:rPr>
        <w:t xml:space="preserve"> governos do PT</w:t>
      </w:r>
      <w:r w:rsidR="0042001F" w:rsidRPr="00C04B80">
        <w:rPr>
          <w:rFonts w:ascii="Times New Roman" w:hAnsi="Times New Roman" w:cs="Times New Roman"/>
          <w:color w:val="222222"/>
          <w:sz w:val="28"/>
          <w:szCs w:val="28"/>
          <w:shd w:val="clear" w:color="auto" w:fill="FFFFFF"/>
        </w:rPr>
        <w:t xml:space="preserve"> tomaram também a decisão de implementar</w:t>
      </w:r>
      <w:r w:rsidR="004C50E7" w:rsidRPr="00C04B80">
        <w:rPr>
          <w:rFonts w:ascii="Times New Roman" w:hAnsi="Times New Roman" w:cs="Times New Roman"/>
          <w:color w:val="222222"/>
          <w:sz w:val="28"/>
          <w:szCs w:val="28"/>
          <w:shd w:val="clear" w:color="auto" w:fill="FFFFFF"/>
        </w:rPr>
        <w:t>, como afirmamos,</w:t>
      </w:r>
      <w:r w:rsidR="0042001F" w:rsidRPr="00C04B80">
        <w:rPr>
          <w:rFonts w:ascii="Times New Roman" w:hAnsi="Times New Roman" w:cs="Times New Roman"/>
          <w:color w:val="222222"/>
          <w:sz w:val="28"/>
          <w:szCs w:val="28"/>
          <w:shd w:val="clear" w:color="auto" w:fill="FFFFFF"/>
        </w:rPr>
        <w:t xml:space="preserve"> a política de conteúdo nacional</w:t>
      </w:r>
      <w:r w:rsidR="00531825" w:rsidRPr="00C04B80">
        <w:rPr>
          <w:rFonts w:ascii="Times New Roman" w:hAnsi="Times New Roman" w:cs="Times New Roman"/>
          <w:color w:val="222222"/>
          <w:sz w:val="28"/>
          <w:szCs w:val="28"/>
          <w:shd w:val="clear" w:color="auto" w:fill="FFFFFF"/>
        </w:rPr>
        <w:t>.</w:t>
      </w: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De fato, os governos do PT investiram muito na recuperação da cadeia nacional de gás e petróleo, que havia sido praticamente desmantelada pelas administrações neoliberais. </w:t>
      </w: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Com efeito, ao final do governo FHC, em 2002, a indústria naval, muito dependente da cadeia do petróleo e gás, empregava somente 6.493 funcionários.</w:t>
      </w: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Não havia requisitos mínimos para conteúdo nacional e o REPETRO aplicava tratamento tributário especial aos bens de origem estrangeira utilizados pela indústria do petróleo e gás, facilitando importações, como se pretende fazer agora, de novo. </w:t>
      </w: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Entretanto, com o advento dos governos do PT, uma série de medidas e programas foi implantada para estimular a cadeia nacional do petróleo e a indústria brasileira como um todo. Passou-se a se exigir que boa parte dos insumos para a indústria de petróleo e gás, inclusive sondas, plataformas e embarcações, fossem fabricados no Brasil.</w:t>
      </w: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Um resultado concreto desses programas, na cadeia de petróleo e gás, foi o crescimento extraordinário do emprego nos estaleiros e na indústria náutica, como se observa claramente no gráfico abaixo.</w:t>
      </w:r>
    </w:p>
    <w:p w:rsidR="00F50006" w:rsidRPr="00C04B80" w:rsidRDefault="00A20BDF"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noProof/>
          <w:color w:val="222222"/>
          <w:sz w:val="28"/>
          <w:szCs w:val="28"/>
          <w:shd w:val="clear" w:color="auto" w:fill="FFFFFF"/>
          <w:lang w:eastAsia="pt-BR"/>
        </w:rPr>
        <w:lastRenderedPageBreak/>
        <w:drawing>
          <wp:inline distT="0" distB="0" distL="0" distR="0">
            <wp:extent cx="5924550" cy="3629025"/>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30000"/>
                    </a:blip>
                    <a:srcRect/>
                    <a:stretch>
                      <a:fillRect/>
                    </a:stretch>
                  </pic:blipFill>
                  <pic:spPr bwMode="auto">
                    <a:xfrm>
                      <a:off x="0" y="0"/>
                      <a:ext cx="5925577" cy="3629654"/>
                    </a:xfrm>
                    <a:prstGeom prst="rect">
                      <a:avLst/>
                    </a:prstGeom>
                    <a:noFill/>
                    <a:ln w="9525">
                      <a:noFill/>
                      <a:miter lim="800000"/>
                      <a:headEnd/>
                      <a:tailEnd/>
                    </a:ln>
                  </pic:spPr>
                </pic:pic>
              </a:graphicData>
            </a:graphic>
          </wp:inline>
        </w:drawing>
      </w: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 Fonte: Centro de Altos Estudos Brasil Século XXI</w:t>
      </w:r>
    </w:p>
    <w:p w:rsidR="00F50006" w:rsidRPr="00C04B80" w:rsidRDefault="00F50006" w:rsidP="00F50006">
      <w:pPr>
        <w:jc w:val="both"/>
        <w:rPr>
          <w:rFonts w:ascii="Times New Roman" w:hAnsi="Times New Roman" w:cs="Times New Roman"/>
          <w:color w:val="222222"/>
          <w:sz w:val="28"/>
          <w:szCs w:val="28"/>
          <w:shd w:val="clear" w:color="auto" w:fill="FFFFFF"/>
        </w:rPr>
      </w:pP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Entretanto, em 2015, o número de empregos já havia caído, em razão dos grandes efeitos da Lava Jato na cadeia do petróleo e gás e na construção civil pesada.</w:t>
      </w: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Acrescente-se que, afetado pelo redimensionamento da Petrobras após o início da operação Lava-Jato, o setor naval já havia perdido, em 2016, mais da metade das 82,5 mil vagas que contabilizava em 2014, ano em que o nível de emprego nessa indústria atingiu seu nível máximo, nas últimas décadas. Dados do Sindicato Nacional da Indústria da Construção e Reparação Naval e </w:t>
      </w:r>
      <w:proofErr w:type="spellStart"/>
      <w:r w:rsidRPr="00C04B80">
        <w:rPr>
          <w:rFonts w:ascii="Times New Roman" w:hAnsi="Times New Roman" w:cs="Times New Roman"/>
          <w:color w:val="222222"/>
          <w:sz w:val="28"/>
          <w:szCs w:val="28"/>
          <w:shd w:val="clear" w:color="auto" w:fill="FFFFFF"/>
        </w:rPr>
        <w:t>Offshore</w:t>
      </w:r>
      <w:proofErr w:type="spellEnd"/>
      <w:r w:rsidRPr="00C04B80">
        <w:rPr>
          <w:rFonts w:ascii="Times New Roman" w:hAnsi="Times New Roman" w:cs="Times New Roman"/>
          <w:color w:val="222222"/>
          <w:sz w:val="28"/>
          <w:szCs w:val="28"/>
          <w:shd w:val="clear" w:color="auto" w:fill="FFFFFF"/>
        </w:rPr>
        <w:t xml:space="preserve"> (</w:t>
      </w:r>
      <w:proofErr w:type="spellStart"/>
      <w:r w:rsidRPr="00C04B80">
        <w:rPr>
          <w:rFonts w:ascii="Times New Roman" w:hAnsi="Times New Roman" w:cs="Times New Roman"/>
          <w:color w:val="222222"/>
          <w:sz w:val="28"/>
          <w:szCs w:val="28"/>
          <w:shd w:val="clear" w:color="auto" w:fill="FFFFFF"/>
        </w:rPr>
        <w:t>Sinaval</w:t>
      </w:r>
      <w:proofErr w:type="spellEnd"/>
      <w:r w:rsidRPr="00C04B80">
        <w:rPr>
          <w:rFonts w:ascii="Times New Roman" w:hAnsi="Times New Roman" w:cs="Times New Roman"/>
          <w:color w:val="222222"/>
          <w:sz w:val="28"/>
          <w:szCs w:val="28"/>
          <w:shd w:val="clear" w:color="auto" w:fill="FFFFFF"/>
        </w:rPr>
        <w:t xml:space="preserve">) mostram que, até novembro de 2016, o segmento somava apenas 38,5 mil funcionários, número que caiu a 35 mil em dezembro, quando a </w:t>
      </w:r>
      <w:proofErr w:type="spellStart"/>
      <w:r w:rsidRPr="00C04B80">
        <w:rPr>
          <w:rFonts w:ascii="Times New Roman" w:hAnsi="Times New Roman" w:cs="Times New Roman"/>
          <w:color w:val="222222"/>
          <w:sz w:val="28"/>
          <w:szCs w:val="28"/>
          <w:shd w:val="clear" w:color="auto" w:fill="FFFFFF"/>
        </w:rPr>
        <w:t>Ecovix</w:t>
      </w:r>
      <w:proofErr w:type="spellEnd"/>
      <w:r w:rsidRPr="00C04B80">
        <w:rPr>
          <w:rFonts w:ascii="Times New Roman" w:hAnsi="Times New Roman" w:cs="Times New Roman"/>
          <w:color w:val="222222"/>
          <w:sz w:val="28"/>
          <w:szCs w:val="28"/>
          <w:shd w:val="clear" w:color="auto" w:fill="FFFFFF"/>
        </w:rPr>
        <w:t xml:space="preserve"> entrou em recuperação judicial e demitiu mais de 3 mil pessoas de seu estaleiro no Rio Grande do Sul.</w:t>
      </w:r>
    </w:p>
    <w:p w:rsidR="00F50006" w:rsidRPr="00C04B80" w:rsidRDefault="00A47E2F"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As demissões persiste</w:t>
      </w:r>
      <w:r w:rsidR="00F50006" w:rsidRPr="00C04B80">
        <w:rPr>
          <w:rFonts w:ascii="Times New Roman" w:hAnsi="Times New Roman" w:cs="Times New Roman"/>
          <w:color w:val="222222"/>
          <w:sz w:val="28"/>
          <w:szCs w:val="28"/>
          <w:shd w:val="clear" w:color="auto" w:fill="FFFFFF"/>
        </w:rPr>
        <w:t>m neste ano (2017), diante do plano de desinvestimento da estatal, da perspectiva remota de novos pedidos de sondas e plataformas e da suavização das regras de exigência de conteúdo local na cadeia de óleo e gás definida pelo governo golpista.</w:t>
      </w:r>
    </w:p>
    <w:p w:rsidR="00F50006" w:rsidRPr="00C04B80" w:rsidRDefault="00F50006" w:rsidP="00F50006">
      <w:pPr>
        <w:jc w:val="both"/>
        <w:rPr>
          <w:rFonts w:ascii="Times New Roman" w:hAnsi="Times New Roman" w:cs="Times New Roman"/>
          <w:b/>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O problema maior, contudo, é que o governo golpista pretende substituir as exigências específicas de hoje por um índice global e genérico de 40% de conteúdo local. Entretanto, estudo elaborado pela FIESP </w:t>
      </w:r>
      <w:r w:rsidRPr="00C04B80">
        <w:rPr>
          <w:rFonts w:ascii="Times New Roman" w:hAnsi="Times New Roman" w:cs="Times New Roman"/>
          <w:b/>
          <w:color w:val="222222"/>
          <w:sz w:val="28"/>
          <w:szCs w:val="28"/>
          <w:shd w:val="clear" w:color="auto" w:fill="FFFFFF"/>
        </w:rPr>
        <w:t xml:space="preserve">demonstra que, </w:t>
      </w:r>
      <w:r w:rsidRPr="00C04B80">
        <w:rPr>
          <w:rFonts w:ascii="Times New Roman" w:hAnsi="Times New Roman" w:cs="Times New Roman"/>
          <w:b/>
          <w:color w:val="222222"/>
          <w:sz w:val="28"/>
          <w:szCs w:val="28"/>
          <w:shd w:val="clear" w:color="auto" w:fill="FFFFFF"/>
        </w:rPr>
        <w:lastRenderedPageBreak/>
        <w:t>com um índice global único e genérico de 40%, que engloba tanto indústria como serviços, o conteúdo local poderia ser alcançado com zero de máquinas e equipamentos produzidos internamente.</w:t>
      </w: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De fato, com tal exigência genérica, o conteúdo local poderia ser atingido facilmente mediante fornecimento de mão de obra de pouca qualificação para suprimento de serviços de manutenção e reparos, bem como fornecimento de material de baixa tecnologia e de outros serviços (transportes, etc.).  Nesse caso, a indústria de transformação brasileira, responsável pela geração de empregos e tecnologia mais sofisticados, ficaria de fora dos estímulos.</w:t>
      </w: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O estudo da FIESP demonstra que, com investimento de R$ 1 bilhão na exploração e produção de petróleo e gás, a produção interna de bens e serviços do setor, observadas as atuais regras de conteúdo local, gera R$ 551 milhões em contribuição para o PIB e 1.532 empregos. Contudo, se forem retiradas as atuais regras de conteúdo local, o mesmo valor de investimento resultaria em somente R$ 43 milhões para o PIB e 144 empregos. E a arrecadação gerada em tributos cairia dos atuais R$ 521,5 milhões para ridículos R$ 31 milhões. Já o total dos salários pagos desabaria de R$ 293,9 milhões para R$ 27,8 milhões. Os impactos foram medidos para o médio e longo prazos, considerando que a demanda de bens passaria a ser 100% atendida pelas importações.</w:t>
      </w:r>
    </w:p>
    <w:p w:rsidR="00F50006" w:rsidRPr="00C04B80" w:rsidRDefault="00F50006" w:rsidP="00F50006">
      <w:pPr>
        <w:jc w:val="both"/>
        <w:rPr>
          <w:rFonts w:ascii="Times New Roman" w:hAnsi="Times New Roman" w:cs="Times New Roman"/>
          <w:color w:val="222222"/>
          <w:sz w:val="28"/>
          <w:szCs w:val="28"/>
          <w:shd w:val="clear" w:color="auto" w:fill="FFFFFF"/>
        </w:rPr>
      </w:pP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 </w:t>
      </w:r>
      <w:r w:rsidR="004C50E7" w:rsidRPr="00C04B80">
        <w:rPr>
          <w:rFonts w:ascii="Times New Roman" w:hAnsi="Times New Roman" w:cs="Times New Roman"/>
          <w:noProof/>
          <w:color w:val="222222"/>
          <w:sz w:val="28"/>
          <w:szCs w:val="28"/>
          <w:shd w:val="clear" w:color="auto" w:fill="FFFFFF"/>
          <w:lang w:eastAsia="pt-BR"/>
        </w:rPr>
        <w:drawing>
          <wp:inline distT="0" distB="0" distL="0" distR="0">
            <wp:extent cx="5400040" cy="2449509"/>
            <wp:effectExtent l="19050" t="0" r="0" b="0"/>
            <wp:docPr id="3" name="Imagem 1" descr="Tabela estudo Fiesp conteudo local"/>
            <wp:cNvGraphicFramePr/>
            <a:graphic xmlns:a="http://schemas.openxmlformats.org/drawingml/2006/main">
              <a:graphicData uri="http://schemas.openxmlformats.org/drawingml/2006/picture">
                <pic:pic xmlns:pic="http://schemas.openxmlformats.org/drawingml/2006/picture">
                  <pic:nvPicPr>
                    <pic:cNvPr id="0" name="Picture 4" descr="Tabela estudo Fiesp conteudo local"/>
                    <pic:cNvPicPr>
                      <a:picLocks noChangeAspect="1" noChangeArrowheads="1"/>
                    </pic:cNvPicPr>
                  </pic:nvPicPr>
                  <pic:blipFill>
                    <a:blip r:embed="rId8" cstate="print">
                      <a:lum bright="-10000" contrast="20000"/>
                    </a:blip>
                    <a:srcRect/>
                    <a:stretch>
                      <a:fillRect/>
                    </a:stretch>
                  </pic:blipFill>
                  <pic:spPr bwMode="auto">
                    <a:xfrm>
                      <a:off x="0" y="0"/>
                      <a:ext cx="5400040" cy="2449509"/>
                    </a:xfrm>
                    <a:prstGeom prst="rect">
                      <a:avLst/>
                    </a:prstGeom>
                    <a:noFill/>
                    <a:ln w="9525">
                      <a:noFill/>
                      <a:miter lim="800000"/>
                      <a:headEnd/>
                      <a:tailEnd/>
                    </a:ln>
                  </pic:spPr>
                </pic:pic>
              </a:graphicData>
            </a:graphic>
          </wp:inline>
        </w:drawing>
      </w:r>
    </w:p>
    <w:p w:rsidR="00F50006" w:rsidRPr="00C04B80" w:rsidRDefault="00F50006" w:rsidP="00F50006">
      <w:pPr>
        <w:jc w:val="both"/>
        <w:rPr>
          <w:rFonts w:ascii="Times New Roman" w:hAnsi="Times New Roman" w:cs="Times New Roman"/>
          <w:color w:val="222222"/>
          <w:sz w:val="28"/>
          <w:szCs w:val="28"/>
          <w:shd w:val="clear" w:color="auto" w:fill="FFFFFF"/>
        </w:rPr>
      </w:pPr>
    </w:p>
    <w:p w:rsidR="00F50006" w:rsidRPr="00C04B80" w:rsidRDefault="00F50006" w:rsidP="00F50006">
      <w:pPr>
        <w:jc w:val="both"/>
        <w:rPr>
          <w:rFonts w:ascii="Times New Roman" w:hAnsi="Times New Roman" w:cs="Times New Roman"/>
          <w:color w:val="222222"/>
          <w:sz w:val="28"/>
          <w:szCs w:val="28"/>
          <w:shd w:val="clear" w:color="auto" w:fill="FFFFFF"/>
        </w:rPr>
      </w:pPr>
    </w:p>
    <w:p w:rsidR="00F50006"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lastRenderedPageBreak/>
        <w:t xml:space="preserve">À destruição da Política de Conteúdo Local soma-se </w:t>
      </w:r>
      <w:r w:rsidR="00EB71D6" w:rsidRPr="00C04B80">
        <w:rPr>
          <w:rFonts w:ascii="Times New Roman" w:hAnsi="Times New Roman" w:cs="Times New Roman"/>
          <w:color w:val="222222"/>
          <w:sz w:val="28"/>
          <w:szCs w:val="28"/>
          <w:shd w:val="clear" w:color="auto" w:fill="FFFFFF"/>
        </w:rPr>
        <w:t>a</w:t>
      </w:r>
      <w:r w:rsidRPr="00C04B80">
        <w:rPr>
          <w:rFonts w:ascii="Times New Roman" w:hAnsi="Times New Roman" w:cs="Times New Roman"/>
          <w:color w:val="222222"/>
          <w:sz w:val="28"/>
          <w:szCs w:val="28"/>
          <w:shd w:val="clear" w:color="auto" w:fill="FFFFFF"/>
        </w:rPr>
        <w:t xml:space="preserve"> extinção da Petrobras como operadora única do pré-sal, que assegurava à nossa estatal pelo menos 30% dos recursos petrolíferos.</w:t>
      </w:r>
    </w:p>
    <w:p w:rsidR="00257A94" w:rsidRPr="00C04B80" w:rsidRDefault="00F50006" w:rsidP="00F50006">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Os próximos passos serão a extinção do regime de partilha e a volta do regime de concessão, que permitirá a apropriação direta das jazidas pelas empresas multinacionais e impedirá a gestão estratégica do petróleo e, por fim, a privatização fatiada da Petrobras, a qual já está começando pela BR Distribuidora. Com isso, a obra destruidora do golpe se completará e o sonhado uso do pré-sal para a alavancagem do nosso desenvolvimento e da nossa educação será somente uma dolorosa memória.   </w:t>
      </w:r>
    </w:p>
    <w:p w:rsidR="00612F39" w:rsidRPr="00C04B80" w:rsidRDefault="00612F39" w:rsidP="0005109B">
      <w:pPr>
        <w:jc w:val="both"/>
        <w:rPr>
          <w:rFonts w:ascii="Times New Roman" w:hAnsi="Times New Roman" w:cs="Times New Roman"/>
          <w:color w:val="222222"/>
          <w:sz w:val="28"/>
          <w:szCs w:val="28"/>
          <w:shd w:val="clear" w:color="auto" w:fill="FFFFFF"/>
        </w:rPr>
      </w:pPr>
    </w:p>
    <w:p w:rsidR="007239FC" w:rsidRPr="00C04B80" w:rsidRDefault="007239FC" w:rsidP="0005109B">
      <w:pPr>
        <w:jc w:val="both"/>
        <w:rPr>
          <w:rFonts w:ascii="Times New Roman" w:hAnsi="Times New Roman" w:cs="Times New Roman"/>
          <w:color w:val="222222"/>
          <w:sz w:val="28"/>
          <w:szCs w:val="28"/>
          <w:shd w:val="clear" w:color="auto" w:fill="FFFFFF"/>
        </w:rPr>
      </w:pPr>
    </w:p>
    <w:p w:rsidR="0005109B" w:rsidRPr="00C04B80" w:rsidRDefault="0005109B" w:rsidP="0005109B">
      <w:pPr>
        <w:jc w:val="both"/>
        <w:rPr>
          <w:rFonts w:ascii="Times New Roman" w:hAnsi="Times New Roman" w:cs="Times New Roman"/>
          <w:color w:val="222222"/>
          <w:sz w:val="28"/>
          <w:szCs w:val="28"/>
          <w:u w:val="single"/>
          <w:shd w:val="clear" w:color="auto" w:fill="FFFFFF"/>
        </w:rPr>
      </w:pPr>
      <w:r w:rsidRPr="00C04B80">
        <w:rPr>
          <w:rFonts w:ascii="Times New Roman" w:hAnsi="Times New Roman" w:cs="Times New Roman"/>
          <w:color w:val="222222"/>
          <w:sz w:val="28"/>
          <w:szCs w:val="28"/>
          <w:u w:val="single"/>
          <w:shd w:val="clear" w:color="auto" w:fill="FFFFFF"/>
        </w:rPr>
        <w:t>Mudanças de regras</w:t>
      </w:r>
      <w:r w:rsidR="00E94008" w:rsidRPr="00C04B80">
        <w:rPr>
          <w:rFonts w:ascii="Times New Roman" w:hAnsi="Times New Roman" w:cs="Times New Roman"/>
          <w:color w:val="222222"/>
          <w:sz w:val="28"/>
          <w:szCs w:val="28"/>
          <w:u w:val="single"/>
          <w:shd w:val="clear" w:color="auto" w:fill="FFFFFF"/>
        </w:rPr>
        <w:t xml:space="preserve"> no governo Golpista</w:t>
      </w:r>
      <w:r w:rsidRPr="00C04B80">
        <w:rPr>
          <w:rFonts w:ascii="Times New Roman" w:hAnsi="Times New Roman" w:cs="Times New Roman"/>
          <w:color w:val="222222"/>
          <w:sz w:val="28"/>
          <w:szCs w:val="28"/>
          <w:u w:val="single"/>
          <w:shd w:val="clear" w:color="auto" w:fill="FFFFFF"/>
        </w:rPr>
        <w:t xml:space="preserve">: conteúdo local e papel da Petrobras </w:t>
      </w:r>
    </w:p>
    <w:p w:rsidR="0005109B" w:rsidRPr="00C04B80" w:rsidRDefault="000633BF" w:rsidP="0005109B">
      <w:pPr>
        <w:jc w:val="both"/>
        <w:rPr>
          <w:rFonts w:ascii="Times New Roman" w:hAnsi="Times New Roman" w:cs="Times New Roman"/>
          <w:sz w:val="28"/>
          <w:szCs w:val="28"/>
        </w:rPr>
      </w:pPr>
      <w:r w:rsidRPr="00C04B80">
        <w:rPr>
          <w:rFonts w:ascii="Times New Roman" w:hAnsi="Times New Roman" w:cs="Times New Roman"/>
          <w:color w:val="222222"/>
          <w:sz w:val="28"/>
          <w:szCs w:val="28"/>
          <w:shd w:val="clear" w:color="auto" w:fill="FFFFFF"/>
        </w:rPr>
        <w:t>O</w:t>
      </w:r>
      <w:r w:rsidR="0005109B" w:rsidRPr="00C04B80">
        <w:rPr>
          <w:rFonts w:ascii="Times New Roman" w:hAnsi="Times New Roman" w:cs="Times New Roman"/>
          <w:color w:val="222222"/>
          <w:sz w:val="28"/>
          <w:szCs w:val="28"/>
          <w:shd w:val="clear" w:color="auto" w:fill="FFFFFF"/>
        </w:rPr>
        <w:t xml:space="preserve">s </w:t>
      </w:r>
      <w:r w:rsidRPr="00C04B80">
        <w:rPr>
          <w:rFonts w:ascii="Times New Roman" w:hAnsi="Times New Roman" w:cs="Times New Roman"/>
          <w:color w:val="222222"/>
          <w:sz w:val="28"/>
          <w:szCs w:val="28"/>
          <w:shd w:val="clear" w:color="auto" w:fill="FFFFFF"/>
        </w:rPr>
        <w:t xml:space="preserve">próximos </w:t>
      </w:r>
      <w:r w:rsidR="0005109B" w:rsidRPr="00C04B80">
        <w:rPr>
          <w:rFonts w:ascii="Times New Roman" w:hAnsi="Times New Roman" w:cs="Times New Roman"/>
          <w:color w:val="222222"/>
          <w:sz w:val="28"/>
          <w:szCs w:val="28"/>
          <w:shd w:val="clear" w:color="auto" w:fill="FFFFFF"/>
        </w:rPr>
        <w:t xml:space="preserve">leilões ocorrerão com a redução dos índices de conteúdo local (ver anexo). Segundo o MME, </w:t>
      </w:r>
      <w:r w:rsidR="0005109B" w:rsidRPr="00C04B80">
        <w:rPr>
          <w:rFonts w:ascii="Times New Roman" w:hAnsi="Times New Roman" w:cs="Times New Roman"/>
          <w:b/>
          <w:color w:val="222222"/>
          <w:sz w:val="28"/>
          <w:szCs w:val="28"/>
          <w:u w:val="single"/>
          <w:shd w:val="clear" w:color="auto" w:fill="FFFFFF"/>
        </w:rPr>
        <w:t>a redução é em média de 50% em relação às regras anteriores</w:t>
      </w:r>
      <w:r w:rsidR="0005109B" w:rsidRPr="00C04B80">
        <w:rPr>
          <w:rFonts w:ascii="Times New Roman" w:hAnsi="Times New Roman" w:cs="Times New Roman"/>
          <w:color w:val="222222"/>
          <w:sz w:val="28"/>
          <w:szCs w:val="28"/>
          <w:shd w:val="clear" w:color="auto" w:fill="FFFFFF"/>
        </w:rPr>
        <w:t>. Estudo da Fiesp mostra que a política de conteúdo local não retira atratividade dos leilões. As rodadas ocorridas sob as regras de índices de conteúdo local mais elevados (2005-2015) tiveram aumento no percentual de áreas adquiridas, tendo sido de 47,8% das áreas ofertadas (contra 30,1% do período 1999-2004). No período 2005-2015, o bônus médio por leilão foi R$ 1,55 bi, contra R$ 0,91 bi, em 1999-2004.</w:t>
      </w:r>
      <w:r w:rsidR="0005109B" w:rsidRPr="00C04B80">
        <w:rPr>
          <w:rFonts w:ascii="Times New Roman" w:hAnsi="Times New Roman" w:cs="Times New Roman"/>
          <w:sz w:val="28"/>
          <w:szCs w:val="28"/>
        </w:rPr>
        <w:t xml:space="preserve"> </w:t>
      </w:r>
    </w:p>
    <w:p w:rsidR="0005109B" w:rsidRPr="00C04B80" w:rsidRDefault="0005109B" w:rsidP="0005109B">
      <w:pPr>
        <w:jc w:val="both"/>
        <w:rPr>
          <w:rFonts w:ascii="Times New Roman" w:hAnsi="Times New Roman" w:cs="Times New Roman"/>
          <w:sz w:val="28"/>
          <w:szCs w:val="28"/>
        </w:rPr>
      </w:pPr>
      <w:r w:rsidRPr="00C04B80">
        <w:rPr>
          <w:rFonts w:ascii="Times New Roman" w:hAnsi="Times New Roman" w:cs="Times New Roman"/>
          <w:noProof/>
          <w:sz w:val="28"/>
          <w:szCs w:val="28"/>
          <w:lang w:eastAsia="pt-BR"/>
        </w:rPr>
        <w:drawing>
          <wp:inline distT="0" distB="0" distL="0" distR="0">
            <wp:extent cx="5400040" cy="2025943"/>
            <wp:effectExtent l="0" t="0" r="0" b="0"/>
            <wp:docPr id="2" name="Imagem 2" descr="Tabela estudo Fiesp conteudo local - leil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ela estudo Fiesp conteudo local - leiloe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025943"/>
                    </a:xfrm>
                    <a:prstGeom prst="rect">
                      <a:avLst/>
                    </a:prstGeom>
                    <a:noFill/>
                    <a:ln>
                      <a:noFill/>
                    </a:ln>
                  </pic:spPr>
                </pic:pic>
              </a:graphicData>
            </a:graphic>
          </wp:inline>
        </w:drawing>
      </w:r>
    </w:p>
    <w:p w:rsidR="0005109B" w:rsidRPr="00C04B80" w:rsidRDefault="0005109B"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Os dados mostram que o principal fator a impactar o resultado dos leilões foi o preço e o volume de petróleo, e não o conteúdo local. Segundo a Fiesp, </w:t>
      </w:r>
      <w:r w:rsidRPr="00C04B80">
        <w:rPr>
          <w:rFonts w:ascii="Times New Roman" w:hAnsi="Times New Roman" w:cs="Times New Roman"/>
          <w:b/>
          <w:color w:val="222222"/>
          <w:sz w:val="28"/>
          <w:szCs w:val="28"/>
          <w:u w:val="single"/>
          <w:shd w:val="clear" w:color="auto" w:fill="FFFFFF"/>
        </w:rPr>
        <w:t>a cada R$ 1 bilhão investido na exploração e produção de petróleo e gás, são gerados R$ 551 milhões para o PIB e criados 1.532 empregos</w:t>
      </w:r>
      <w:r w:rsidRPr="00C04B80">
        <w:rPr>
          <w:rFonts w:ascii="Times New Roman" w:hAnsi="Times New Roman" w:cs="Times New Roman"/>
          <w:color w:val="222222"/>
          <w:sz w:val="28"/>
          <w:szCs w:val="28"/>
          <w:shd w:val="clear" w:color="auto" w:fill="FFFFFF"/>
        </w:rPr>
        <w:t xml:space="preserve">. Caso a demanda por bens fosse atendida 100% por importações, </w:t>
      </w:r>
      <w:r w:rsidRPr="00C04B80">
        <w:rPr>
          <w:rFonts w:ascii="Times New Roman" w:hAnsi="Times New Roman" w:cs="Times New Roman"/>
          <w:color w:val="222222"/>
          <w:sz w:val="28"/>
          <w:szCs w:val="28"/>
          <w:shd w:val="clear" w:color="auto" w:fill="FFFFFF"/>
        </w:rPr>
        <w:lastRenderedPageBreak/>
        <w:t xml:space="preserve">a cada R$ 1 bilhão investido, seriam gerados R$ 43 milhões para o PIB (7,8% do que era gerado antes da flexibilização da política) e 144 empregos (9,4% das vagas criadas na vigência da regra de conteúdo local antes do governo Temer). </w:t>
      </w:r>
    </w:p>
    <w:p w:rsidR="0005109B" w:rsidRPr="00C04B80" w:rsidRDefault="0005109B"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Portanto, </w:t>
      </w:r>
      <w:r w:rsidRPr="00C04B80">
        <w:rPr>
          <w:rFonts w:ascii="Times New Roman" w:hAnsi="Times New Roman" w:cs="Times New Roman"/>
          <w:b/>
          <w:color w:val="222222"/>
          <w:sz w:val="28"/>
          <w:szCs w:val="28"/>
          <w:u w:val="single"/>
          <w:shd w:val="clear" w:color="auto" w:fill="FFFFFF"/>
        </w:rPr>
        <w:t>o Brasil está abdicando de utilizar suas reservas de petróleo como alavanca para crescimento econômico e para o desenvolvimento da indústria nacional, conforme países desenvolvidos fizeram. Por exemplo, Noruega e Reino Unido</w:t>
      </w:r>
      <w:r w:rsidRPr="00C04B80">
        <w:rPr>
          <w:rFonts w:ascii="Times New Roman" w:hAnsi="Times New Roman" w:cs="Times New Roman"/>
          <w:color w:val="222222"/>
          <w:sz w:val="28"/>
          <w:szCs w:val="28"/>
          <w:shd w:val="clear" w:color="auto" w:fill="FFFFFF"/>
        </w:rPr>
        <w:t>.</w:t>
      </w:r>
    </w:p>
    <w:p w:rsidR="0005109B" w:rsidRPr="00C04B80" w:rsidRDefault="0005109B" w:rsidP="0005109B">
      <w:pPr>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 xml:space="preserve">Além disso, os leilões de outubro de 2017 reforçarão o papel secundário que o governo atribui a Petrobras, pois já valerá a regra que retira da empresa a condição de operadora exclusiva. Com isso, é induzida </w:t>
      </w:r>
      <w:r w:rsidRPr="00C04B80">
        <w:rPr>
          <w:rFonts w:ascii="Times New Roman" w:hAnsi="Times New Roman" w:cs="Times New Roman"/>
          <w:color w:val="222222"/>
          <w:sz w:val="28"/>
          <w:szCs w:val="28"/>
          <w:u w:val="single"/>
          <w:shd w:val="clear" w:color="auto" w:fill="FFFFFF"/>
        </w:rPr>
        <w:t>maior participação de empresas como Shell, Exxon, Chevron e Total na produção e exploração do petróleo</w:t>
      </w:r>
      <w:r w:rsidRPr="00C04B80">
        <w:rPr>
          <w:rFonts w:ascii="Times New Roman" w:hAnsi="Times New Roman" w:cs="Times New Roman"/>
          <w:color w:val="222222"/>
          <w:sz w:val="28"/>
          <w:szCs w:val="28"/>
          <w:shd w:val="clear" w:color="auto" w:fill="FFFFFF"/>
        </w:rPr>
        <w:t xml:space="preserve">. </w:t>
      </w:r>
    </w:p>
    <w:p w:rsidR="0050165E" w:rsidRPr="00C04B80" w:rsidRDefault="0005109B" w:rsidP="0050165E">
      <w:pPr>
        <w:jc w:val="both"/>
        <w:rPr>
          <w:rFonts w:ascii="Times New Roman" w:hAnsi="Times New Roman" w:cs="Times New Roman"/>
          <w:sz w:val="28"/>
          <w:szCs w:val="28"/>
          <w:shd w:val="clear" w:color="auto" w:fill="FFFFFF"/>
        </w:rPr>
      </w:pPr>
      <w:r w:rsidRPr="00C04B80">
        <w:rPr>
          <w:rFonts w:ascii="Times New Roman" w:hAnsi="Times New Roman" w:cs="Times New Roman"/>
          <w:color w:val="222222"/>
          <w:sz w:val="28"/>
          <w:szCs w:val="28"/>
          <w:shd w:val="clear" w:color="auto" w:fill="FFFFFF"/>
        </w:rPr>
        <w:t xml:space="preserve">Completando o cenário de entrega do setor ao capital internacional, a Petrobras está vendendo ativos a preços reduzidos. Em novembro de 2016, a ANP aprovou a venda de 66% da participação da Petrobras no bloco exploratório BM-S-8, onde está localizada a área de Carcará, no pré-sal da Bacia de Santos, para a norueguesa Statoil, por R$ 2,5 bilhões. A empresa norueguesa estima que as reservas do campo estão entre 0,7 e 1,3 bilhão de barris. </w:t>
      </w:r>
      <w:r w:rsidRPr="00C04B80">
        <w:rPr>
          <w:rFonts w:ascii="Times New Roman" w:hAnsi="Times New Roman" w:cs="Times New Roman"/>
          <w:color w:val="222222"/>
          <w:sz w:val="28"/>
          <w:szCs w:val="28"/>
          <w:u w:val="single"/>
          <w:shd w:val="clear" w:color="auto" w:fill="FFFFFF"/>
        </w:rPr>
        <w:t>Se considerada a existência de 0,7 bilhão de barris, o valor pago pela Statoil é de 42% do que foi pago pela Petrobras em Libra, por exemplo.</w:t>
      </w:r>
      <w:r w:rsidR="0050165E" w:rsidRPr="00C04B80">
        <w:rPr>
          <w:rFonts w:ascii="Times New Roman" w:hAnsi="Times New Roman" w:cs="Times New Roman"/>
          <w:color w:val="222222"/>
          <w:sz w:val="28"/>
          <w:szCs w:val="28"/>
          <w:u w:val="single"/>
          <w:shd w:val="clear" w:color="auto" w:fill="FFFFFF"/>
        </w:rPr>
        <w:t xml:space="preserve"> </w:t>
      </w:r>
      <w:r w:rsidR="0050165E" w:rsidRPr="00C04B80">
        <w:rPr>
          <w:rFonts w:ascii="Times New Roman" w:hAnsi="Times New Roman" w:cs="Times New Roman"/>
          <w:b/>
          <w:sz w:val="28"/>
          <w:szCs w:val="28"/>
          <w:u w:val="single"/>
          <w:shd w:val="clear" w:color="auto" w:fill="FFFFFF"/>
        </w:rPr>
        <w:t>Se considerados 2 bilhões de barris em Carcará, o preço a ser pago pela Statoil cai para US$ 1,25/</w:t>
      </w:r>
      <w:proofErr w:type="spellStart"/>
      <w:r w:rsidR="0050165E" w:rsidRPr="00C04B80">
        <w:rPr>
          <w:rFonts w:ascii="Times New Roman" w:hAnsi="Times New Roman" w:cs="Times New Roman"/>
          <w:b/>
          <w:sz w:val="28"/>
          <w:szCs w:val="28"/>
          <w:u w:val="single"/>
          <w:shd w:val="clear" w:color="auto" w:fill="FFFFFF"/>
        </w:rPr>
        <w:t>bbl</w:t>
      </w:r>
      <w:proofErr w:type="spellEnd"/>
      <w:r w:rsidR="0050165E" w:rsidRPr="00C04B80">
        <w:rPr>
          <w:rFonts w:ascii="Times New Roman" w:hAnsi="Times New Roman" w:cs="Times New Roman"/>
          <w:b/>
          <w:sz w:val="28"/>
          <w:szCs w:val="28"/>
          <w:u w:val="single"/>
          <w:shd w:val="clear" w:color="auto" w:fill="FFFFFF"/>
        </w:rPr>
        <w:t>, 31% do que foi pago pela Petrobras em Libra</w:t>
      </w:r>
      <w:r w:rsidR="0050165E" w:rsidRPr="00C04B80">
        <w:rPr>
          <w:rFonts w:ascii="Times New Roman" w:hAnsi="Times New Roman" w:cs="Times New Roman"/>
          <w:sz w:val="28"/>
          <w:szCs w:val="28"/>
          <w:u w:val="single"/>
          <w:shd w:val="clear" w:color="auto" w:fill="FFFFFF"/>
        </w:rPr>
        <w:t>.</w:t>
      </w:r>
    </w:p>
    <w:p w:rsidR="0005109B" w:rsidRPr="00C04B80" w:rsidRDefault="0005109B" w:rsidP="0005109B">
      <w:pPr>
        <w:jc w:val="both"/>
        <w:rPr>
          <w:rFonts w:ascii="Times New Roman" w:hAnsi="Times New Roman" w:cs="Times New Roman"/>
          <w:color w:val="222222"/>
          <w:sz w:val="28"/>
          <w:szCs w:val="28"/>
          <w:shd w:val="clear" w:color="auto" w:fill="FFFFFF"/>
        </w:rPr>
      </w:pPr>
    </w:p>
    <w:p w:rsidR="0005109B" w:rsidRPr="00C04B80" w:rsidRDefault="0005109B" w:rsidP="0005109B">
      <w:pPr>
        <w:jc w:val="both"/>
        <w:rPr>
          <w:rFonts w:ascii="Times New Roman" w:hAnsi="Times New Roman" w:cs="Times New Roman"/>
          <w:color w:val="222222"/>
          <w:sz w:val="28"/>
          <w:szCs w:val="28"/>
          <w:u w:val="single"/>
          <w:shd w:val="clear" w:color="auto" w:fill="FFFFFF"/>
        </w:rPr>
      </w:pPr>
      <w:r w:rsidRPr="00C04B80">
        <w:rPr>
          <w:rFonts w:ascii="Times New Roman" w:hAnsi="Times New Roman" w:cs="Times New Roman"/>
          <w:color w:val="222222"/>
          <w:sz w:val="28"/>
          <w:szCs w:val="28"/>
          <w:u w:val="single"/>
          <w:shd w:val="clear" w:color="auto" w:fill="FFFFFF"/>
        </w:rPr>
        <w:t xml:space="preserve">MP 795  </w:t>
      </w:r>
      <w:r w:rsidR="00DB674A" w:rsidRPr="00C04B80">
        <w:rPr>
          <w:rFonts w:ascii="Times New Roman" w:hAnsi="Times New Roman" w:cs="Times New Roman"/>
          <w:color w:val="222222"/>
          <w:sz w:val="28"/>
          <w:szCs w:val="28"/>
          <w:u w:val="single"/>
          <w:shd w:val="clear" w:color="auto" w:fill="FFFFFF"/>
        </w:rPr>
        <w:t xml:space="preserve"> </w:t>
      </w:r>
    </w:p>
    <w:p w:rsidR="0005109B" w:rsidRPr="00C04B80" w:rsidRDefault="0005109B" w:rsidP="0005109B">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O governo encaminhou em agosto de 2017 a MP 795 para o Congresso Nacional. Entre as matérias de que trata a MP, constam: a) dedução das despesas de exploração de produção de petróleo e gás natural no Imposto sobre a Renda das Pessoas Jurídicas (IRPJ) e na Contribuição Social sobre o Lucro Líquido (CSLL); b) regime especial de importação com suspensão de tributos federais.</w:t>
      </w:r>
    </w:p>
    <w:p w:rsidR="0005109B" w:rsidRPr="00C04B80" w:rsidRDefault="0005109B" w:rsidP="0005109B">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rsidR="0005109B" w:rsidRDefault="0005109B" w:rsidP="0005109B">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C04B80">
        <w:rPr>
          <w:rFonts w:ascii="Times New Roman" w:hAnsi="Times New Roman" w:cs="Times New Roman"/>
          <w:color w:val="222222"/>
          <w:sz w:val="28"/>
          <w:szCs w:val="28"/>
          <w:shd w:val="clear" w:color="auto" w:fill="FFFFFF"/>
        </w:rPr>
        <w:t xml:space="preserve">Com isso, o governo procura sinalizar maior atratividade às petroleiras, liberando-as de pagar imposto de renda e CSLL por suas atividades, mesmo que as áreas sejam bastantes atrativas e de baixo risco. </w:t>
      </w:r>
      <w:r w:rsidRPr="00C04B80">
        <w:rPr>
          <w:rFonts w:ascii="Times New Roman" w:hAnsi="Times New Roman" w:cs="Times New Roman"/>
          <w:b/>
          <w:color w:val="222222"/>
          <w:sz w:val="28"/>
          <w:szCs w:val="28"/>
          <w:u w:val="single"/>
          <w:shd w:val="clear" w:color="auto" w:fill="FFFFFF"/>
        </w:rPr>
        <w:t xml:space="preserve">Estima-se que a participação governamental no barril de petróleo cairá de cerca de 60% para 40% com a medida, sendo uma das mais baixas do </w:t>
      </w:r>
      <w:r w:rsidRPr="00C04B80">
        <w:rPr>
          <w:rFonts w:ascii="Times New Roman" w:hAnsi="Times New Roman" w:cs="Times New Roman"/>
          <w:b/>
          <w:color w:val="222222"/>
          <w:sz w:val="28"/>
          <w:szCs w:val="28"/>
          <w:u w:val="single"/>
          <w:shd w:val="clear" w:color="auto" w:fill="FFFFFF"/>
        </w:rPr>
        <w:lastRenderedPageBreak/>
        <w:t>mundo</w:t>
      </w:r>
      <w:r w:rsidRPr="00C04B80">
        <w:rPr>
          <w:rFonts w:ascii="Times New Roman" w:hAnsi="Times New Roman" w:cs="Times New Roman"/>
          <w:color w:val="222222"/>
          <w:sz w:val="28"/>
          <w:szCs w:val="28"/>
          <w:shd w:val="clear" w:color="auto" w:fill="FFFFFF"/>
        </w:rPr>
        <w:t xml:space="preserve">. </w:t>
      </w:r>
      <w:r w:rsidR="00C04B80" w:rsidRPr="00C04B80">
        <w:rPr>
          <w:rFonts w:ascii="Times New Roman" w:hAnsi="Times New Roman" w:cs="Times New Roman"/>
          <w:b/>
          <w:sz w:val="28"/>
          <w:szCs w:val="28"/>
          <w:u w:val="single"/>
          <w:shd w:val="clear" w:color="auto" w:fill="FFFFFF"/>
        </w:rPr>
        <w:t>A perda poderá ser de R$ 1 trilhão para o país com os benefícios tributários ao longo de todo o período de concessão</w:t>
      </w:r>
      <w:r w:rsidR="00C04B80" w:rsidRPr="00C04B80">
        <w:rPr>
          <w:rFonts w:ascii="Times New Roman" w:hAnsi="Times New Roman" w:cs="Times New Roman"/>
          <w:sz w:val="28"/>
          <w:szCs w:val="28"/>
          <w:shd w:val="clear" w:color="auto" w:fill="FFFFFF"/>
        </w:rPr>
        <w:t>. Dependendo do preço do petróleo, petroleiras rentáveis poderão ter até prejuízo contábil, gerando crédito tributário.</w:t>
      </w:r>
    </w:p>
    <w:p w:rsidR="00D7038E" w:rsidRDefault="00D7038E" w:rsidP="0005109B">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D7038E" w:rsidRPr="00C04B80" w:rsidRDefault="00D7038E" w:rsidP="0005109B">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shd w:val="clear" w:color="auto" w:fill="FFFFFF"/>
        </w:rPr>
        <w:t>O Brasil virará o paraíso das petroleiras. Não por acaso, na Comissão destinada a analisar a MP 795, havia lobista da Shell dialogando com o relator, Júlio Lopes, conforme denunciado pelo Senador Lindbergh.</w:t>
      </w:r>
    </w:p>
    <w:p w:rsidR="0005109B" w:rsidRPr="00C04B80" w:rsidRDefault="0005109B" w:rsidP="0005109B">
      <w:pPr>
        <w:shd w:val="clear" w:color="auto" w:fill="FFFFFF"/>
        <w:spacing w:before="100" w:beforeAutospacing="1" w:after="100" w:afterAutospacing="1" w:line="240" w:lineRule="auto"/>
        <w:jc w:val="both"/>
        <w:rPr>
          <w:rFonts w:ascii="Times New Roman" w:hAnsi="Times New Roman" w:cs="Times New Roman"/>
          <w:color w:val="222222"/>
          <w:sz w:val="28"/>
          <w:szCs w:val="28"/>
          <w:u w:val="single"/>
          <w:shd w:val="clear" w:color="auto" w:fill="FFFFFF"/>
        </w:rPr>
      </w:pPr>
      <w:r w:rsidRPr="00C04B80">
        <w:rPr>
          <w:rFonts w:ascii="Times New Roman" w:hAnsi="Times New Roman" w:cs="Times New Roman"/>
          <w:color w:val="222222"/>
          <w:sz w:val="28"/>
          <w:szCs w:val="28"/>
          <w:shd w:val="clear" w:color="auto" w:fill="FFFFFF"/>
        </w:rPr>
        <w:t xml:space="preserve">Além disso, a MP prevê suspensão de pagamento de tributos federais de bens cuja permanência no País seja definitiva e destinados às atividades de exploração, desenvolvimento e produção do setor. O benefício será concedido </w:t>
      </w:r>
      <w:r w:rsidRPr="00C04B80">
        <w:rPr>
          <w:rFonts w:ascii="Times New Roman" w:hAnsi="Times New Roman" w:cs="Times New Roman"/>
          <w:color w:val="222222"/>
          <w:sz w:val="28"/>
          <w:szCs w:val="28"/>
          <w:u w:val="single"/>
          <w:shd w:val="clear" w:color="auto" w:fill="FFFFFF"/>
        </w:rPr>
        <w:t>mesmo que haja similar nacional</w:t>
      </w:r>
      <w:r w:rsidRPr="00C04B80">
        <w:rPr>
          <w:rFonts w:ascii="Times New Roman" w:hAnsi="Times New Roman" w:cs="Times New Roman"/>
          <w:color w:val="222222"/>
          <w:sz w:val="28"/>
          <w:szCs w:val="28"/>
          <w:shd w:val="clear" w:color="auto" w:fill="FFFFFF"/>
        </w:rPr>
        <w:t xml:space="preserve">. Assim, haverá estímulo à importação de máquinas e equipamentos, impactando a indústria nacional e o emprego, o que é inconcebível tendo em vista que </w:t>
      </w:r>
      <w:r w:rsidRPr="00C04B80">
        <w:rPr>
          <w:rFonts w:ascii="Times New Roman" w:hAnsi="Times New Roman" w:cs="Times New Roman"/>
          <w:color w:val="222222"/>
          <w:sz w:val="28"/>
          <w:szCs w:val="28"/>
          <w:u w:val="single"/>
          <w:shd w:val="clear" w:color="auto" w:fill="FFFFFF"/>
        </w:rPr>
        <w:t>a taxa de desocupação para o país é de 12,6%</w:t>
      </w:r>
      <w:r w:rsidRPr="00C04B80">
        <w:rPr>
          <w:rFonts w:ascii="Times New Roman" w:hAnsi="Times New Roman" w:cs="Times New Roman"/>
          <w:color w:val="222222"/>
          <w:sz w:val="28"/>
          <w:szCs w:val="28"/>
          <w:shd w:val="clear" w:color="auto" w:fill="FFFFFF"/>
        </w:rPr>
        <w:t xml:space="preserve"> no trimestre junho-julho-agosto 2017, segundo o IBGE. </w:t>
      </w:r>
      <w:r w:rsidRPr="00C04B80">
        <w:rPr>
          <w:rFonts w:ascii="Times New Roman" w:hAnsi="Times New Roman" w:cs="Times New Roman"/>
          <w:color w:val="222222"/>
          <w:sz w:val="28"/>
          <w:szCs w:val="28"/>
          <w:u w:val="single"/>
          <w:shd w:val="clear" w:color="auto" w:fill="FFFFFF"/>
        </w:rPr>
        <w:t>São 13,1 milhões de desempregados. Na indústria naval já tivemos mais de 80 mil empregos em 2014, tendo, atualmente, cerca de 40 mil.</w:t>
      </w:r>
    </w:p>
    <w:p w:rsidR="00211D29" w:rsidRPr="00C04B80" w:rsidRDefault="00211D29" w:rsidP="0005109B">
      <w:pPr>
        <w:shd w:val="clear" w:color="auto" w:fill="FFFFFF"/>
        <w:spacing w:before="100" w:beforeAutospacing="1" w:after="100" w:afterAutospacing="1" w:line="240" w:lineRule="auto"/>
        <w:jc w:val="both"/>
        <w:rPr>
          <w:rFonts w:ascii="Times New Roman" w:hAnsi="Times New Roman" w:cs="Times New Roman"/>
          <w:sz w:val="28"/>
          <w:szCs w:val="28"/>
        </w:rPr>
      </w:pPr>
      <w:r w:rsidRPr="00C04B80">
        <w:rPr>
          <w:rFonts w:ascii="Times New Roman" w:hAnsi="Times New Roman" w:cs="Times New Roman"/>
          <w:color w:val="222222"/>
          <w:sz w:val="28"/>
          <w:szCs w:val="28"/>
          <w:u w:val="single"/>
          <w:shd w:val="clear" w:color="auto" w:fill="FFFFFF"/>
        </w:rPr>
        <w:t xml:space="preserve">Trata-se da substituição da política de conteúdo nacional pela política de conteúdo internacional. Geraremos empregos em Cingapura, Holanda, China, </w:t>
      </w:r>
      <w:r w:rsidR="00D3521A" w:rsidRPr="00C04B80">
        <w:rPr>
          <w:rFonts w:ascii="Times New Roman" w:hAnsi="Times New Roman" w:cs="Times New Roman"/>
          <w:color w:val="222222"/>
          <w:sz w:val="28"/>
          <w:szCs w:val="28"/>
          <w:u w:val="single"/>
          <w:shd w:val="clear" w:color="auto" w:fill="FFFFFF"/>
        </w:rPr>
        <w:t>E</w:t>
      </w:r>
      <w:r w:rsidR="00C04B80">
        <w:rPr>
          <w:rFonts w:ascii="Times New Roman" w:hAnsi="Times New Roman" w:cs="Times New Roman"/>
          <w:color w:val="222222"/>
          <w:sz w:val="28"/>
          <w:szCs w:val="28"/>
          <w:u w:val="single"/>
          <w:shd w:val="clear" w:color="auto" w:fill="FFFFFF"/>
        </w:rPr>
        <w:t>UA, Coreia do Sul</w:t>
      </w:r>
      <w:r w:rsidRPr="00C04B80">
        <w:rPr>
          <w:rFonts w:ascii="Times New Roman" w:hAnsi="Times New Roman" w:cs="Times New Roman"/>
          <w:color w:val="222222"/>
          <w:sz w:val="28"/>
          <w:szCs w:val="28"/>
          <w:u w:val="single"/>
          <w:shd w:val="clear" w:color="auto" w:fill="FFFFFF"/>
        </w:rPr>
        <w:t xml:space="preserve"> etc. Menos no Brasil.</w:t>
      </w:r>
    </w:p>
    <w:p w:rsidR="0005109B" w:rsidRPr="00C04B80" w:rsidRDefault="0005109B" w:rsidP="0005109B">
      <w:pPr>
        <w:shd w:val="clear" w:color="auto" w:fill="FFFFFF"/>
        <w:spacing w:before="100" w:beforeAutospacing="1" w:after="100" w:afterAutospacing="1" w:line="240" w:lineRule="auto"/>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O Estaleiro Atlântico Sul chegou a divulgar nota anunciando que fecharia as portas a partir de 2018 em função da previsão da MP de suspender tributos federais sobre importações, o que suscitou mudanças no conteúdo da MP pelo relator (circunscritas ao setor de navegação).</w:t>
      </w:r>
    </w:p>
    <w:p w:rsidR="0005109B" w:rsidRPr="00C04B80" w:rsidRDefault="0005109B" w:rsidP="0005109B">
      <w:pPr>
        <w:shd w:val="clear" w:color="auto" w:fill="FFFFFF"/>
        <w:spacing w:before="100" w:beforeAutospacing="1" w:after="100" w:afterAutospacing="1" w:line="240" w:lineRule="auto"/>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A MP 795 concede benefícios tributários de R$ 31 bilhões para os próximos três anos. São R$ 16,5 bilhões apenas em 2018, ao mesmo tempo em que o PLOA cortou ou reduziu expressivamente diversos investimentos e programas sociais</w:t>
      </w:r>
      <w:r w:rsidR="00773FE0" w:rsidRPr="00C04B80">
        <w:rPr>
          <w:rFonts w:ascii="Times New Roman" w:hAnsi="Times New Roman" w:cs="Times New Roman"/>
          <w:color w:val="222222"/>
          <w:sz w:val="28"/>
          <w:szCs w:val="28"/>
          <w:shd w:val="clear" w:color="auto" w:fill="FFFFFF"/>
        </w:rPr>
        <w:t>, retirando os pobres do orçamento</w:t>
      </w:r>
      <w:r w:rsidRPr="00C04B80">
        <w:rPr>
          <w:rFonts w:ascii="Times New Roman" w:hAnsi="Times New Roman" w:cs="Times New Roman"/>
          <w:color w:val="222222"/>
          <w:sz w:val="28"/>
          <w:szCs w:val="28"/>
          <w:shd w:val="clear" w:color="auto" w:fill="FFFFFF"/>
        </w:rPr>
        <w:t>.</w:t>
      </w:r>
    </w:p>
    <w:p w:rsidR="00D3521A" w:rsidRPr="00C04B80" w:rsidRDefault="00D3521A" w:rsidP="0005109B">
      <w:pPr>
        <w:shd w:val="clear" w:color="auto" w:fill="FFFFFF"/>
        <w:spacing w:before="100" w:beforeAutospacing="1" w:after="100" w:afterAutospacing="1" w:line="240" w:lineRule="auto"/>
        <w:jc w:val="both"/>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Nos governos do PT, nos inspirávamos na experiência da Noruega</w:t>
      </w:r>
      <w:r w:rsidR="00923790" w:rsidRPr="00C04B80">
        <w:rPr>
          <w:rFonts w:ascii="Times New Roman" w:hAnsi="Times New Roman" w:cs="Times New Roman"/>
          <w:color w:val="222222"/>
          <w:sz w:val="28"/>
          <w:szCs w:val="28"/>
          <w:shd w:val="clear" w:color="auto" w:fill="FFFFFF"/>
        </w:rPr>
        <w:t>, país que desenvolvia tecnologia pró</w:t>
      </w:r>
      <w:r w:rsidRPr="00C04B80">
        <w:rPr>
          <w:rFonts w:ascii="Times New Roman" w:hAnsi="Times New Roman" w:cs="Times New Roman"/>
          <w:color w:val="222222"/>
          <w:sz w:val="28"/>
          <w:szCs w:val="28"/>
          <w:shd w:val="clear" w:color="auto" w:fill="FFFFFF"/>
        </w:rPr>
        <w:t xml:space="preserve">pria na </w:t>
      </w:r>
      <w:r w:rsidR="00910E77" w:rsidRPr="00C04B80">
        <w:rPr>
          <w:rFonts w:ascii="Times New Roman" w:hAnsi="Times New Roman" w:cs="Times New Roman"/>
          <w:color w:val="222222"/>
          <w:sz w:val="28"/>
          <w:szCs w:val="28"/>
          <w:shd w:val="clear" w:color="auto" w:fill="FFFFFF"/>
        </w:rPr>
        <w:t>área e utilizava os recurs</w:t>
      </w:r>
      <w:r w:rsidR="00923790" w:rsidRPr="00C04B80">
        <w:rPr>
          <w:rFonts w:ascii="Times New Roman" w:hAnsi="Times New Roman" w:cs="Times New Roman"/>
          <w:color w:val="222222"/>
          <w:sz w:val="28"/>
          <w:szCs w:val="28"/>
          <w:shd w:val="clear" w:color="auto" w:fill="FFFFFF"/>
        </w:rPr>
        <w:t>os do</w:t>
      </w:r>
      <w:r w:rsidR="00910E77" w:rsidRPr="00C04B80">
        <w:rPr>
          <w:rFonts w:ascii="Times New Roman" w:hAnsi="Times New Roman" w:cs="Times New Roman"/>
          <w:color w:val="222222"/>
          <w:sz w:val="28"/>
          <w:szCs w:val="28"/>
          <w:shd w:val="clear" w:color="auto" w:fill="FFFFFF"/>
        </w:rPr>
        <w:t xml:space="preserve"> </w:t>
      </w:r>
      <w:r w:rsidR="00DB674A" w:rsidRPr="00C04B80">
        <w:rPr>
          <w:rFonts w:ascii="Times New Roman" w:hAnsi="Times New Roman" w:cs="Times New Roman"/>
          <w:color w:val="222222"/>
          <w:sz w:val="28"/>
          <w:szCs w:val="28"/>
          <w:shd w:val="clear" w:color="auto" w:fill="FFFFFF"/>
        </w:rPr>
        <w:t>petró</w:t>
      </w:r>
      <w:r w:rsidRPr="00C04B80">
        <w:rPr>
          <w:rFonts w:ascii="Times New Roman" w:hAnsi="Times New Roman" w:cs="Times New Roman"/>
          <w:color w:val="222222"/>
          <w:sz w:val="28"/>
          <w:szCs w:val="28"/>
          <w:shd w:val="clear" w:color="auto" w:fill="FFFFFF"/>
        </w:rPr>
        <w:t>leo com base em critérios intergeracionais para promover sua seguridade social e s</w:t>
      </w:r>
      <w:r w:rsidR="00923790" w:rsidRPr="00C04B80">
        <w:rPr>
          <w:rFonts w:ascii="Times New Roman" w:hAnsi="Times New Roman" w:cs="Times New Roman"/>
          <w:color w:val="222222"/>
          <w:sz w:val="28"/>
          <w:szCs w:val="28"/>
          <w:shd w:val="clear" w:color="auto" w:fill="FFFFFF"/>
        </w:rPr>
        <w:t>eu desenvo</w:t>
      </w:r>
      <w:r w:rsidRPr="00C04B80">
        <w:rPr>
          <w:rFonts w:ascii="Times New Roman" w:hAnsi="Times New Roman" w:cs="Times New Roman"/>
          <w:color w:val="222222"/>
          <w:sz w:val="28"/>
          <w:szCs w:val="28"/>
          <w:shd w:val="clear" w:color="auto" w:fill="FFFFFF"/>
        </w:rPr>
        <w:t>l</w:t>
      </w:r>
      <w:r w:rsidR="00923790" w:rsidRPr="00C04B80">
        <w:rPr>
          <w:rFonts w:ascii="Times New Roman" w:hAnsi="Times New Roman" w:cs="Times New Roman"/>
          <w:color w:val="222222"/>
          <w:sz w:val="28"/>
          <w:szCs w:val="28"/>
          <w:shd w:val="clear" w:color="auto" w:fill="FFFFFF"/>
        </w:rPr>
        <w:t>v</w:t>
      </w:r>
      <w:r w:rsidRPr="00C04B80">
        <w:rPr>
          <w:rFonts w:ascii="Times New Roman" w:hAnsi="Times New Roman" w:cs="Times New Roman"/>
          <w:color w:val="222222"/>
          <w:sz w:val="28"/>
          <w:szCs w:val="28"/>
          <w:shd w:val="clear" w:color="auto" w:fill="FFFFFF"/>
        </w:rPr>
        <w:t>imento. O governo do golpe, em contraste, se i</w:t>
      </w:r>
      <w:r w:rsidR="00910E77" w:rsidRPr="00C04B80">
        <w:rPr>
          <w:rFonts w:ascii="Times New Roman" w:hAnsi="Times New Roman" w:cs="Times New Roman"/>
          <w:color w:val="222222"/>
          <w:sz w:val="28"/>
          <w:szCs w:val="28"/>
          <w:shd w:val="clear" w:color="auto" w:fill="FFFFFF"/>
        </w:rPr>
        <w:t xml:space="preserve">nspira na experiência desastrosa da NNPC (Nigéria) e </w:t>
      </w:r>
      <w:proofErr w:type="spellStart"/>
      <w:r w:rsidR="00910E77" w:rsidRPr="00C04B80">
        <w:rPr>
          <w:rFonts w:ascii="Times New Roman" w:hAnsi="Times New Roman" w:cs="Times New Roman"/>
          <w:color w:val="222222"/>
          <w:sz w:val="28"/>
          <w:szCs w:val="28"/>
          <w:shd w:val="clear" w:color="auto" w:fill="FFFFFF"/>
        </w:rPr>
        <w:t>Sonangol</w:t>
      </w:r>
      <w:proofErr w:type="spellEnd"/>
      <w:r w:rsidR="00910E77" w:rsidRPr="00C04B80">
        <w:rPr>
          <w:rFonts w:ascii="Times New Roman" w:hAnsi="Times New Roman" w:cs="Times New Roman"/>
          <w:color w:val="222222"/>
          <w:sz w:val="28"/>
          <w:szCs w:val="28"/>
          <w:shd w:val="clear" w:color="auto" w:fill="FFFFFF"/>
        </w:rPr>
        <w:t xml:space="preserve"> (A</w:t>
      </w:r>
      <w:r w:rsidRPr="00C04B80">
        <w:rPr>
          <w:rFonts w:ascii="Times New Roman" w:hAnsi="Times New Roman" w:cs="Times New Roman"/>
          <w:color w:val="222222"/>
          <w:sz w:val="28"/>
          <w:szCs w:val="28"/>
          <w:shd w:val="clear" w:color="auto" w:fill="FFFFFF"/>
        </w:rPr>
        <w:t>ngola), emp</w:t>
      </w:r>
      <w:r w:rsidR="00910E77" w:rsidRPr="00C04B80">
        <w:rPr>
          <w:rFonts w:ascii="Times New Roman" w:hAnsi="Times New Roman" w:cs="Times New Roman"/>
          <w:color w:val="222222"/>
          <w:sz w:val="28"/>
          <w:szCs w:val="28"/>
          <w:shd w:val="clear" w:color="auto" w:fill="FFFFFF"/>
        </w:rPr>
        <w:t>resa</w:t>
      </w:r>
      <w:r w:rsidR="00794F8B" w:rsidRPr="00C04B80">
        <w:rPr>
          <w:rFonts w:ascii="Times New Roman" w:hAnsi="Times New Roman" w:cs="Times New Roman"/>
          <w:color w:val="222222"/>
          <w:sz w:val="28"/>
          <w:szCs w:val="28"/>
          <w:shd w:val="clear" w:color="auto" w:fill="FFFFFF"/>
        </w:rPr>
        <w:t>s que não operam,</w:t>
      </w:r>
      <w:r w:rsidR="00910E77" w:rsidRPr="00C04B80">
        <w:rPr>
          <w:rFonts w:ascii="Times New Roman" w:hAnsi="Times New Roman" w:cs="Times New Roman"/>
          <w:color w:val="222222"/>
          <w:sz w:val="28"/>
          <w:szCs w:val="28"/>
          <w:shd w:val="clear" w:color="auto" w:fill="FFFFFF"/>
        </w:rPr>
        <w:t xml:space="preserve"> não desenvolvem </w:t>
      </w:r>
      <w:bookmarkStart w:id="0" w:name="_GoBack"/>
      <w:bookmarkEnd w:id="0"/>
      <w:r w:rsidR="00910E77" w:rsidRPr="00C04B80">
        <w:rPr>
          <w:rFonts w:ascii="Times New Roman" w:hAnsi="Times New Roman" w:cs="Times New Roman"/>
          <w:color w:val="222222"/>
          <w:sz w:val="28"/>
          <w:szCs w:val="28"/>
          <w:shd w:val="clear" w:color="auto" w:fill="FFFFFF"/>
        </w:rPr>
        <w:t>tecnologia pró</w:t>
      </w:r>
      <w:r w:rsidRPr="00C04B80">
        <w:rPr>
          <w:rFonts w:ascii="Times New Roman" w:hAnsi="Times New Roman" w:cs="Times New Roman"/>
          <w:color w:val="222222"/>
          <w:sz w:val="28"/>
          <w:szCs w:val="28"/>
          <w:shd w:val="clear" w:color="auto" w:fill="FFFFFF"/>
        </w:rPr>
        <w:t xml:space="preserve">pria e </w:t>
      </w:r>
      <w:r w:rsidR="00910E77" w:rsidRPr="00C04B80">
        <w:rPr>
          <w:rFonts w:ascii="Times New Roman" w:hAnsi="Times New Roman" w:cs="Times New Roman"/>
          <w:color w:val="222222"/>
          <w:sz w:val="28"/>
          <w:szCs w:val="28"/>
          <w:shd w:val="clear" w:color="auto" w:fill="FFFFFF"/>
        </w:rPr>
        <w:t>não constituem cadeias de petró</w:t>
      </w:r>
      <w:r w:rsidRPr="00C04B80">
        <w:rPr>
          <w:rFonts w:ascii="Times New Roman" w:hAnsi="Times New Roman" w:cs="Times New Roman"/>
          <w:color w:val="222222"/>
          <w:sz w:val="28"/>
          <w:szCs w:val="28"/>
          <w:shd w:val="clear" w:color="auto" w:fill="FFFFFF"/>
        </w:rPr>
        <w:t xml:space="preserve">leo e gás capazes de estimular o </w:t>
      </w:r>
      <w:r w:rsidR="00910E77" w:rsidRPr="00C04B80">
        <w:rPr>
          <w:rFonts w:ascii="Times New Roman" w:hAnsi="Times New Roman" w:cs="Times New Roman"/>
          <w:color w:val="222222"/>
          <w:sz w:val="28"/>
          <w:szCs w:val="28"/>
          <w:shd w:val="clear" w:color="auto" w:fill="FFFFFF"/>
        </w:rPr>
        <w:t>desenvolvi</w:t>
      </w:r>
      <w:r w:rsidRPr="00C04B80">
        <w:rPr>
          <w:rFonts w:ascii="Times New Roman" w:hAnsi="Times New Roman" w:cs="Times New Roman"/>
          <w:color w:val="222222"/>
          <w:sz w:val="28"/>
          <w:szCs w:val="28"/>
          <w:shd w:val="clear" w:color="auto" w:fill="FFFFFF"/>
        </w:rPr>
        <w:t>mento nacional.</w:t>
      </w:r>
    </w:p>
    <w:p w:rsidR="00167C18" w:rsidRDefault="00167C18" w:rsidP="00EF2B9B">
      <w:pPr>
        <w:shd w:val="clear" w:color="auto" w:fill="FFFFFF"/>
        <w:spacing w:before="100" w:beforeAutospacing="1" w:after="100" w:afterAutospacing="1" w:line="240" w:lineRule="auto"/>
        <w:jc w:val="center"/>
        <w:rPr>
          <w:rFonts w:ascii="Times New Roman" w:hAnsi="Times New Roman" w:cs="Times New Roman"/>
          <w:b/>
          <w:color w:val="222222"/>
          <w:sz w:val="28"/>
          <w:szCs w:val="28"/>
          <w:u w:val="single"/>
          <w:shd w:val="clear" w:color="auto" w:fill="FFFFFF"/>
        </w:rPr>
      </w:pPr>
    </w:p>
    <w:p w:rsidR="00167C18" w:rsidRDefault="00167C18" w:rsidP="00EF2B9B">
      <w:pPr>
        <w:shd w:val="clear" w:color="auto" w:fill="FFFFFF"/>
        <w:spacing w:before="100" w:beforeAutospacing="1" w:after="100" w:afterAutospacing="1" w:line="240" w:lineRule="auto"/>
        <w:jc w:val="center"/>
        <w:rPr>
          <w:rFonts w:ascii="Times New Roman" w:hAnsi="Times New Roman" w:cs="Times New Roman"/>
          <w:b/>
          <w:color w:val="222222"/>
          <w:sz w:val="28"/>
          <w:szCs w:val="28"/>
          <w:u w:val="single"/>
          <w:shd w:val="clear" w:color="auto" w:fill="FFFFFF"/>
        </w:rPr>
      </w:pPr>
    </w:p>
    <w:p w:rsidR="0005109B" w:rsidRPr="00C04B80" w:rsidRDefault="00DB674A" w:rsidP="00EF2B9B">
      <w:pPr>
        <w:shd w:val="clear" w:color="auto" w:fill="FFFFFF"/>
        <w:spacing w:before="100" w:beforeAutospacing="1" w:after="100" w:afterAutospacing="1" w:line="240" w:lineRule="auto"/>
        <w:jc w:val="center"/>
        <w:rPr>
          <w:rFonts w:ascii="Times New Roman" w:hAnsi="Times New Roman" w:cs="Times New Roman"/>
          <w:b/>
          <w:color w:val="222222"/>
          <w:sz w:val="28"/>
          <w:szCs w:val="28"/>
          <w:u w:val="single"/>
          <w:shd w:val="clear" w:color="auto" w:fill="FFFFFF"/>
        </w:rPr>
      </w:pPr>
      <w:r w:rsidRPr="00C04B80">
        <w:rPr>
          <w:rFonts w:ascii="Times New Roman" w:hAnsi="Times New Roman" w:cs="Times New Roman"/>
          <w:b/>
          <w:color w:val="222222"/>
          <w:sz w:val="28"/>
          <w:szCs w:val="28"/>
          <w:u w:val="single"/>
          <w:shd w:val="clear" w:color="auto" w:fill="FFFFFF"/>
        </w:rPr>
        <w:t>A</w:t>
      </w:r>
      <w:r w:rsidR="0005109B" w:rsidRPr="00C04B80">
        <w:rPr>
          <w:rFonts w:ascii="Times New Roman" w:hAnsi="Times New Roman" w:cs="Times New Roman"/>
          <w:b/>
          <w:color w:val="222222"/>
          <w:sz w:val="28"/>
          <w:szCs w:val="28"/>
          <w:u w:val="single"/>
          <w:shd w:val="clear" w:color="auto" w:fill="FFFFFF"/>
        </w:rPr>
        <w:t>nexo</w:t>
      </w:r>
    </w:p>
    <w:p w:rsidR="0005109B" w:rsidRPr="00C04B80" w:rsidRDefault="0005109B" w:rsidP="0005109B">
      <w:pPr>
        <w:jc w:val="center"/>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Índices de conteúdo local – segunda rodada</w:t>
      </w:r>
    </w:p>
    <w:tbl>
      <w:tblPr>
        <w:tblW w:w="4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3"/>
        <w:gridCol w:w="2937"/>
        <w:gridCol w:w="2705"/>
      </w:tblGrid>
      <w:tr w:rsidR="0005109B" w:rsidRPr="00C04B80" w:rsidTr="003D5EA1">
        <w:trPr>
          <w:cantSplit/>
          <w:trHeight w:val="730"/>
          <w:jc w:val="center"/>
        </w:trPr>
        <w:tc>
          <w:tcPr>
            <w:tcW w:w="1376" w:type="pct"/>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Bloco</w:t>
            </w:r>
          </w:p>
        </w:tc>
        <w:tc>
          <w:tcPr>
            <w:tcW w:w="1886" w:type="pct"/>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 xml:space="preserve">% CL </w:t>
            </w:r>
          </w:p>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 xml:space="preserve"> Fase de Exploração</w:t>
            </w:r>
          </w:p>
        </w:tc>
        <w:tc>
          <w:tcPr>
            <w:tcW w:w="1737" w:type="pct"/>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 xml:space="preserve">% CL </w:t>
            </w:r>
          </w:p>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 xml:space="preserve"> Etapa de Desenvolvimento</w:t>
            </w:r>
          </w:p>
        </w:tc>
      </w:tr>
      <w:tr w:rsidR="0005109B" w:rsidRPr="00C04B80" w:rsidTr="003D5EA1">
        <w:trPr>
          <w:trHeight w:val="574"/>
          <w:jc w:val="center"/>
        </w:trPr>
        <w:tc>
          <w:tcPr>
            <w:tcW w:w="137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b/>
                <w:sz w:val="28"/>
                <w:szCs w:val="28"/>
              </w:rPr>
              <w:t>Norte de Carcará</w:t>
            </w:r>
          </w:p>
        </w:tc>
        <w:tc>
          <w:tcPr>
            <w:tcW w:w="188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35</w:t>
            </w:r>
          </w:p>
        </w:tc>
        <w:tc>
          <w:tcPr>
            <w:tcW w:w="1737" w:type="pct"/>
            <w:vAlign w:val="center"/>
          </w:tcPr>
          <w:p w:rsidR="0005109B" w:rsidRPr="00C04B80" w:rsidRDefault="0005109B" w:rsidP="00531A32">
            <w:pPr>
              <w:spacing w:beforeLines="50" w:afterLines="50"/>
              <w:jc w:val="center"/>
              <w:rPr>
                <w:rFonts w:ascii="Times New Roman" w:hAnsi="Times New Roman" w:cs="Times New Roman"/>
                <w:sz w:val="28"/>
                <w:szCs w:val="28"/>
                <w:lang w:val="en-US"/>
              </w:rPr>
            </w:pPr>
            <w:r w:rsidRPr="00C04B80">
              <w:rPr>
                <w:rFonts w:ascii="Times New Roman" w:hAnsi="Times New Roman" w:cs="Times New Roman"/>
                <w:sz w:val="28"/>
                <w:szCs w:val="28"/>
              </w:rPr>
              <w:t>30</w:t>
            </w:r>
          </w:p>
        </w:tc>
      </w:tr>
      <w:tr w:rsidR="0005109B" w:rsidRPr="00C04B80" w:rsidTr="003D5EA1">
        <w:trPr>
          <w:trHeight w:val="574"/>
          <w:jc w:val="center"/>
        </w:trPr>
        <w:tc>
          <w:tcPr>
            <w:tcW w:w="137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b/>
                <w:sz w:val="28"/>
                <w:szCs w:val="28"/>
              </w:rPr>
              <w:t xml:space="preserve">Entorno de </w:t>
            </w:r>
            <w:proofErr w:type="spellStart"/>
            <w:r w:rsidRPr="00C04B80">
              <w:rPr>
                <w:rFonts w:ascii="Times New Roman" w:hAnsi="Times New Roman" w:cs="Times New Roman"/>
                <w:b/>
                <w:sz w:val="28"/>
                <w:szCs w:val="28"/>
              </w:rPr>
              <w:t>Sapinhoá</w:t>
            </w:r>
            <w:proofErr w:type="spellEnd"/>
          </w:p>
        </w:tc>
        <w:tc>
          <w:tcPr>
            <w:tcW w:w="188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35</w:t>
            </w:r>
          </w:p>
        </w:tc>
        <w:tc>
          <w:tcPr>
            <w:tcW w:w="1737" w:type="pct"/>
            <w:vAlign w:val="center"/>
          </w:tcPr>
          <w:p w:rsidR="0005109B" w:rsidRPr="00C04B80" w:rsidRDefault="0005109B" w:rsidP="00531A32">
            <w:pPr>
              <w:spacing w:beforeLines="50" w:afterLines="50"/>
              <w:jc w:val="center"/>
              <w:rPr>
                <w:rFonts w:ascii="Times New Roman" w:hAnsi="Times New Roman" w:cs="Times New Roman"/>
                <w:sz w:val="28"/>
                <w:szCs w:val="28"/>
                <w:lang w:val="en-US"/>
              </w:rPr>
            </w:pPr>
            <w:r w:rsidRPr="00C04B80">
              <w:rPr>
                <w:rFonts w:ascii="Times New Roman" w:hAnsi="Times New Roman" w:cs="Times New Roman"/>
                <w:sz w:val="28"/>
                <w:szCs w:val="28"/>
              </w:rPr>
              <w:t>30</w:t>
            </w:r>
          </w:p>
        </w:tc>
      </w:tr>
      <w:tr w:rsidR="0005109B" w:rsidRPr="00C04B80" w:rsidTr="003D5EA1">
        <w:trPr>
          <w:trHeight w:val="574"/>
          <w:jc w:val="center"/>
        </w:trPr>
        <w:tc>
          <w:tcPr>
            <w:tcW w:w="137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b/>
                <w:sz w:val="28"/>
                <w:szCs w:val="28"/>
              </w:rPr>
              <w:t>Sul de Gato do Mato</w:t>
            </w:r>
          </w:p>
        </w:tc>
        <w:tc>
          <w:tcPr>
            <w:tcW w:w="188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38</w:t>
            </w:r>
          </w:p>
        </w:tc>
        <w:tc>
          <w:tcPr>
            <w:tcW w:w="1737" w:type="pct"/>
            <w:vAlign w:val="center"/>
          </w:tcPr>
          <w:p w:rsidR="0005109B" w:rsidRPr="00C04B80" w:rsidRDefault="0005109B" w:rsidP="00531A32">
            <w:pPr>
              <w:spacing w:beforeLines="50" w:afterLines="50"/>
              <w:jc w:val="center"/>
              <w:rPr>
                <w:rFonts w:ascii="Times New Roman" w:hAnsi="Times New Roman" w:cs="Times New Roman"/>
                <w:sz w:val="28"/>
                <w:szCs w:val="28"/>
                <w:lang w:val="en-US"/>
              </w:rPr>
            </w:pPr>
            <w:r w:rsidRPr="00C04B80">
              <w:rPr>
                <w:rFonts w:ascii="Times New Roman" w:hAnsi="Times New Roman" w:cs="Times New Roman"/>
                <w:sz w:val="28"/>
                <w:szCs w:val="28"/>
              </w:rPr>
              <w:t>60</w:t>
            </w:r>
          </w:p>
        </w:tc>
      </w:tr>
      <w:tr w:rsidR="0005109B" w:rsidRPr="00C04B80" w:rsidTr="003D5EA1">
        <w:trPr>
          <w:trHeight w:val="574"/>
          <w:jc w:val="center"/>
        </w:trPr>
        <w:tc>
          <w:tcPr>
            <w:tcW w:w="137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b/>
                <w:sz w:val="28"/>
                <w:szCs w:val="28"/>
              </w:rPr>
              <w:t>Sudoeste de Tartaruga Verde</w:t>
            </w:r>
          </w:p>
        </w:tc>
        <w:tc>
          <w:tcPr>
            <w:tcW w:w="188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55</w:t>
            </w:r>
          </w:p>
        </w:tc>
        <w:tc>
          <w:tcPr>
            <w:tcW w:w="1737" w:type="pct"/>
            <w:vAlign w:val="center"/>
          </w:tcPr>
          <w:p w:rsidR="0005109B" w:rsidRPr="00C04B80" w:rsidRDefault="0005109B" w:rsidP="00531A32">
            <w:pPr>
              <w:spacing w:beforeLines="50" w:afterLines="50"/>
              <w:jc w:val="center"/>
              <w:rPr>
                <w:rFonts w:ascii="Times New Roman" w:hAnsi="Times New Roman" w:cs="Times New Roman"/>
                <w:sz w:val="28"/>
                <w:szCs w:val="28"/>
                <w:lang w:val="en-US"/>
              </w:rPr>
            </w:pPr>
            <w:r w:rsidRPr="00C04B80">
              <w:rPr>
                <w:rFonts w:ascii="Times New Roman" w:hAnsi="Times New Roman" w:cs="Times New Roman"/>
                <w:sz w:val="28"/>
                <w:szCs w:val="28"/>
              </w:rPr>
              <w:t>65</w:t>
            </w:r>
          </w:p>
        </w:tc>
      </w:tr>
    </w:tbl>
    <w:p w:rsidR="0005109B" w:rsidRPr="00C04B80" w:rsidRDefault="0005109B" w:rsidP="0005109B">
      <w:pPr>
        <w:jc w:val="center"/>
        <w:rPr>
          <w:rFonts w:ascii="Times New Roman" w:hAnsi="Times New Roman" w:cs="Times New Roman"/>
          <w:color w:val="222222"/>
          <w:sz w:val="28"/>
          <w:szCs w:val="28"/>
          <w:shd w:val="clear" w:color="auto" w:fill="FFFFFF"/>
        </w:rPr>
      </w:pPr>
    </w:p>
    <w:p w:rsidR="0005109B" w:rsidRPr="00C04B80" w:rsidRDefault="0005109B" w:rsidP="0005109B">
      <w:pPr>
        <w:jc w:val="center"/>
        <w:rPr>
          <w:rFonts w:ascii="Times New Roman" w:hAnsi="Times New Roman" w:cs="Times New Roman"/>
          <w:color w:val="222222"/>
          <w:sz w:val="28"/>
          <w:szCs w:val="28"/>
          <w:shd w:val="clear" w:color="auto" w:fill="FFFFFF"/>
        </w:rPr>
      </w:pPr>
      <w:r w:rsidRPr="00C04B80">
        <w:rPr>
          <w:rFonts w:ascii="Times New Roman" w:hAnsi="Times New Roman" w:cs="Times New Roman"/>
          <w:color w:val="222222"/>
          <w:sz w:val="28"/>
          <w:szCs w:val="28"/>
          <w:shd w:val="clear" w:color="auto" w:fill="FFFFFF"/>
        </w:rPr>
        <w:t>Índices de conteúdo local – terceira rodada</w:t>
      </w:r>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28"/>
        <w:gridCol w:w="1509"/>
        <w:gridCol w:w="1525"/>
        <w:gridCol w:w="1587"/>
        <w:gridCol w:w="1649"/>
      </w:tblGrid>
      <w:tr w:rsidR="0005109B" w:rsidRPr="00C04B80" w:rsidTr="003D5EA1">
        <w:trPr>
          <w:cantSplit/>
          <w:trHeight w:val="484"/>
          <w:jc w:val="center"/>
        </w:trPr>
        <w:tc>
          <w:tcPr>
            <w:tcW w:w="1326" w:type="pct"/>
            <w:vMerge w:val="restart"/>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Bloco</w:t>
            </w:r>
          </w:p>
        </w:tc>
        <w:tc>
          <w:tcPr>
            <w:tcW w:w="862" w:type="pct"/>
            <w:vMerge w:val="restart"/>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 xml:space="preserve">% CL </w:t>
            </w:r>
            <w:proofErr w:type="spellStart"/>
            <w:r w:rsidRPr="00C04B80">
              <w:rPr>
                <w:rFonts w:ascii="Times New Roman" w:hAnsi="Times New Roman"/>
                <w:bCs/>
                <w:sz w:val="28"/>
                <w:szCs w:val="28"/>
                <w:lang w:val="pt-BR"/>
              </w:rPr>
              <w:t>Minimo</w:t>
            </w:r>
            <w:proofErr w:type="spellEnd"/>
          </w:p>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 xml:space="preserve"> Fase de Exploração</w:t>
            </w:r>
          </w:p>
        </w:tc>
        <w:tc>
          <w:tcPr>
            <w:tcW w:w="2812" w:type="pct"/>
            <w:gridSpan w:val="3"/>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 CL Mínimo</w:t>
            </w:r>
          </w:p>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 xml:space="preserve"> Etapa de Desenvolvimento</w:t>
            </w:r>
          </w:p>
        </w:tc>
      </w:tr>
      <w:tr w:rsidR="0005109B" w:rsidRPr="00C04B80" w:rsidTr="003D5EA1">
        <w:trPr>
          <w:cantSplit/>
          <w:trHeight w:val="484"/>
          <w:jc w:val="center"/>
        </w:trPr>
        <w:tc>
          <w:tcPr>
            <w:tcW w:w="1326" w:type="pct"/>
            <w:vMerge/>
            <w:shd w:val="pct10" w:color="auto" w:fill="auto"/>
            <w:vAlign w:val="center"/>
          </w:tcPr>
          <w:p w:rsidR="0005109B" w:rsidRPr="00C04B80" w:rsidDel="00AE0812" w:rsidRDefault="0005109B" w:rsidP="003D5EA1">
            <w:pPr>
              <w:pStyle w:val="Centeredheading"/>
              <w:keepNext w:val="0"/>
              <w:spacing w:before="60" w:after="60"/>
              <w:rPr>
                <w:rFonts w:ascii="Times New Roman" w:hAnsi="Times New Roman"/>
                <w:bCs/>
                <w:sz w:val="28"/>
                <w:szCs w:val="28"/>
                <w:lang w:val="pt-BR"/>
              </w:rPr>
            </w:pPr>
          </w:p>
        </w:tc>
        <w:tc>
          <w:tcPr>
            <w:tcW w:w="862" w:type="pct"/>
            <w:vMerge/>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p>
        </w:tc>
        <w:tc>
          <w:tcPr>
            <w:tcW w:w="780" w:type="pct"/>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Construção de Poço</w:t>
            </w:r>
          </w:p>
        </w:tc>
        <w:tc>
          <w:tcPr>
            <w:tcW w:w="1094" w:type="pct"/>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Sistema de Coleta e Escoamento</w:t>
            </w:r>
          </w:p>
        </w:tc>
        <w:tc>
          <w:tcPr>
            <w:tcW w:w="938" w:type="pct"/>
            <w:shd w:val="pct10" w:color="auto" w:fill="auto"/>
            <w:vAlign w:val="center"/>
          </w:tcPr>
          <w:p w:rsidR="0005109B" w:rsidRPr="00C04B80" w:rsidRDefault="0005109B" w:rsidP="003D5EA1">
            <w:pPr>
              <w:pStyle w:val="Centeredheading"/>
              <w:keepNext w:val="0"/>
              <w:spacing w:before="60" w:after="60"/>
              <w:rPr>
                <w:rFonts w:ascii="Times New Roman" w:hAnsi="Times New Roman"/>
                <w:bCs/>
                <w:sz w:val="28"/>
                <w:szCs w:val="28"/>
                <w:lang w:val="pt-BR"/>
              </w:rPr>
            </w:pPr>
            <w:r w:rsidRPr="00C04B80">
              <w:rPr>
                <w:rFonts w:ascii="Times New Roman" w:hAnsi="Times New Roman"/>
                <w:bCs/>
                <w:sz w:val="28"/>
                <w:szCs w:val="28"/>
                <w:lang w:val="pt-BR"/>
              </w:rPr>
              <w:t>Unidade Estacionária de Produção</w:t>
            </w:r>
          </w:p>
        </w:tc>
      </w:tr>
      <w:tr w:rsidR="0005109B" w:rsidRPr="00C04B80" w:rsidTr="00EF2B9B">
        <w:trPr>
          <w:trHeight w:val="280"/>
          <w:jc w:val="center"/>
        </w:trPr>
        <w:tc>
          <w:tcPr>
            <w:tcW w:w="132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Pau Brasil</w:t>
            </w:r>
          </w:p>
        </w:tc>
        <w:tc>
          <w:tcPr>
            <w:tcW w:w="862" w:type="pct"/>
            <w:vMerge w:val="restar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18</w:t>
            </w:r>
          </w:p>
        </w:tc>
        <w:tc>
          <w:tcPr>
            <w:tcW w:w="780" w:type="pct"/>
            <w:vMerge w:val="restar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25</w:t>
            </w:r>
          </w:p>
        </w:tc>
        <w:tc>
          <w:tcPr>
            <w:tcW w:w="1094" w:type="pct"/>
            <w:vMerge w:val="restar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40</w:t>
            </w:r>
          </w:p>
        </w:tc>
        <w:tc>
          <w:tcPr>
            <w:tcW w:w="938" w:type="pct"/>
            <w:vMerge w:val="restar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25</w:t>
            </w:r>
          </w:p>
        </w:tc>
      </w:tr>
      <w:tr w:rsidR="0005109B" w:rsidRPr="00C04B80" w:rsidTr="00EF2B9B">
        <w:trPr>
          <w:trHeight w:val="274"/>
          <w:jc w:val="center"/>
        </w:trPr>
        <w:tc>
          <w:tcPr>
            <w:tcW w:w="132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Peroba</w:t>
            </w:r>
          </w:p>
        </w:tc>
        <w:tc>
          <w:tcPr>
            <w:tcW w:w="862"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c>
          <w:tcPr>
            <w:tcW w:w="780"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c>
          <w:tcPr>
            <w:tcW w:w="1094"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c>
          <w:tcPr>
            <w:tcW w:w="938"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r>
      <w:tr w:rsidR="0005109B" w:rsidRPr="00C04B80" w:rsidTr="003D5EA1">
        <w:trPr>
          <w:trHeight w:val="380"/>
          <w:jc w:val="center"/>
        </w:trPr>
        <w:tc>
          <w:tcPr>
            <w:tcW w:w="132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Alto de Cabo Frio Oeste</w:t>
            </w:r>
            <w:r w:rsidRPr="00C04B80" w:rsidDel="007368EF">
              <w:rPr>
                <w:rFonts w:ascii="Times New Roman" w:hAnsi="Times New Roman" w:cs="Times New Roman"/>
                <w:sz w:val="28"/>
                <w:szCs w:val="28"/>
              </w:rPr>
              <w:t xml:space="preserve"> </w:t>
            </w:r>
          </w:p>
        </w:tc>
        <w:tc>
          <w:tcPr>
            <w:tcW w:w="862"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c>
          <w:tcPr>
            <w:tcW w:w="780"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c>
          <w:tcPr>
            <w:tcW w:w="1094"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c>
          <w:tcPr>
            <w:tcW w:w="938"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r>
      <w:tr w:rsidR="0005109B" w:rsidRPr="00C04B80" w:rsidTr="003D5EA1">
        <w:trPr>
          <w:trHeight w:val="380"/>
          <w:jc w:val="center"/>
        </w:trPr>
        <w:tc>
          <w:tcPr>
            <w:tcW w:w="1326" w:type="pct"/>
            <w:vAlign w:val="center"/>
          </w:tcPr>
          <w:p w:rsidR="0005109B" w:rsidRPr="00C04B80" w:rsidRDefault="0005109B" w:rsidP="00531A32">
            <w:pPr>
              <w:spacing w:beforeLines="50" w:afterLines="50"/>
              <w:jc w:val="center"/>
              <w:rPr>
                <w:rFonts w:ascii="Times New Roman" w:hAnsi="Times New Roman" w:cs="Times New Roman"/>
                <w:sz w:val="28"/>
                <w:szCs w:val="28"/>
              </w:rPr>
            </w:pPr>
            <w:r w:rsidRPr="00C04B80">
              <w:rPr>
                <w:rFonts w:ascii="Times New Roman" w:hAnsi="Times New Roman" w:cs="Times New Roman"/>
                <w:sz w:val="28"/>
                <w:szCs w:val="28"/>
              </w:rPr>
              <w:t>Alto de Cabo Frio Central</w:t>
            </w:r>
            <w:r w:rsidRPr="00C04B80" w:rsidDel="007368EF">
              <w:rPr>
                <w:rFonts w:ascii="Times New Roman" w:hAnsi="Times New Roman" w:cs="Times New Roman"/>
                <w:sz w:val="28"/>
                <w:szCs w:val="28"/>
              </w:rPr>
              <w:t xml:space="preserve"> </w:t>
            </w:r>
          </w:p>
        </w:tc>
        <w:tc>
          <w:tcPr>
            <w:tcW w:w="862"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c>
          <w:tcPr>
            <w:tcW w:w="780"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c>
          <w:tcPr>
            <w:tcW w:w="1094"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c>
          <w:tcPr>
            <w:tcW w:w="938" w:type="pct"/>
            <w:vMerge/>
            <w:vAlign w:val="center"/>
          </w:tcPr>
          <w:p w:rsidR="0005109B" w:rsidRPr="00C04B80" w:rsidRDefault="0005109B" w:rsidP="00531A32">
            <w:pPr>
              <w:spacing w:beforeLines="50" w:afterLines="50"/>
              <w:jc w:val="center"/>
              <w:rPr>
                <w:rFonts w:ascii="Times New Roman" w:hAnsi="Times New Roman" w:cs="Times New Roman"/>
                <w:sz w:val="28"/>
                <w:szCs w:val="28"/>
              </w:rPr>
            </w:pPr>
          </w:p>
        </w:tc>
      </w:tr>
    </w:tbl>
    <w:p w:rsidR="0005109B" w:rsidRPr="00C04B80" w:rsidRDefault="0005109B" w:rsidP="0005109B">
      <w:pPr>
        <w:jc w:val="both"/>
        <w:rPr>
          <w:rFonts w:ascii="Times New Roman" w:hAnsi="Times New Roman" w:cs="Times New Roman"/>
          <w:b/>
          <w:sz w:val="28"/>
          <w:szCs w:val="28"/>
        </w:rPr>
      </w:pPr>
      <w:r w:rsidRPr="00C04B80">
        <w:rPr>
          <w:rFonts w:ascii="Times New Roman" w:hAnsi="Times New Roman" w:cs="Times New Roman"/>
          <w:color w:val="222222"/>
          <w:sz w:val="28"/>
          <w:szCs w:val="28"/>
          <w:shd w:val="clear" w:color="auto" w:fill="FFFFFF"/>
        </w:rPr>
        <w:t xml:space="preserve">     </w:t>
      </w:r>
    </w:p>
    <w:p w:rsidR="002C156D" w:rsidRPr="00C04B80" w:rsidRDefault="002C156D">
      <w:pPr>
        <w:rPr>
          <w:rFonts w:ascii="Times New Roman" w:hAnsi="Times New Roman" w:cs="Times New Roman"/>
          <w:sz w:val="28"/>
          <w:szCs w:val="28"/>
        </w:rPr>
      </w:pPr>
    </w:p>
    <w:sectPr w:rsidR="002C156D" w:rsidRPr="00C04B80" w:rsidSect="00D749B3">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B97" w:rsidRDefault="00C13B97" w:rsidP="0005109B">
      <w:pPr>
        <w:spacing w:after="0" w:line="240" w:lineRule="auto"/>
      </w:pPr>
      <w:r>
        <w:separator/>
      </w:r>
    </w:p>
  </w:endnote>
  <w:endnote w:type="continuationSeparator" w:id="0">
    <w:p w:rsidR="00C13B97" w:rsidRDefault="00C13B97" w:rsidP="00051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27379"/>
      <w:docPartObj>
        <w:docPartGallery w:val="Page Numbers (Bottom of Page)"/>
        <w:docPartUnique/>
      </w:docPartObj>
    </w:sdtPr>
    <w:sdtContent>
      <w:p w:rsidR="00DB674A" w:rsidRDefault="00C71CD5">
        <w:pPr>
          <w:pStyle w:val="Rodap"/>
          <w:jc w:val="right"/>
        </w:pPr>
        <w:r>
          <w:fldChar w:fldCharType="begin"/>
        </w:r>
        <w:r w:rsidR="00C90DA5">
          <w:instrText xml:space="preserve"> PAGE   \* MERGEFORMAT </w:instrText>
        </w:r>
        <w:r>
          <w:fldChar w:fldCharType="separate"/>
        </w:r>
        <w:r w:rsidR="00531A32">
          <w:rPr>
            <w:noProof/>
          </w:rPr>
          <w:t>11</w:t>
        </w:r>
        <w:r>
          <w:rPr>
            <w:noProof/>
          </w:rPr>
          <w:fldChar w:fldCharType="end"/>
        </w:r>
      </w:p>
    </w:sdtContent>
  </w:sdt>
  <w:p w:rsidR="00DB674A" w:rsidRDefault="00DB67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B97" w:rsidRDefault="00C13B97" w:rsidP="0005109B">
      <w:pPr>
        <w:spacing w:after="0" w:line="240" w:lineRule="auto"/>
      </w:pPr>
      <w:r>
        <w:separator/>
      </w:r>
    </w:p>
  </w:footnote>
  <w:footnote w:type="continuationSeparator" w:id="0">
    <w:p w:rsidR="00C13B97" w:rsidRDefault="00C13B97" w:rsidP="0005109B">
      <w:pPr>
        <w:spacing w:after="0" w:line="240" w:lineRule="auto"/>
      </w:pPr>
      <w:r>
        <w:continuationSeparator/>
      </w:r>
    </w:p>
  </w:footnote>
  <w:footnote w:id="1">
    <w:p w:rsidR="0005109B" w:rsidRPr="003B0043" w:rsidRDefault="0005109B" w:rsidP="0005109B">
      <w:pPr>
        <w:pStyle w:val="Textodenotaderodap"/>
        <w:jc w:val="both"/>
        <w:rPr>
          <w:rFonts w:ascii="Times New Roman" w:hAnsi="Times New Roman" w:cs="Times New Roman"/>
          <w:sz w:val="18"/>
          <w:szCs w:val="18"/>
        </w:rPr>
      </w:pPr>
      <w:r w:rsidRPr="003B0043">
        <w:rPr>
          <w:rStyle w:val="Refdenotaderodap"/>
          <w:rFonts w:ascii="Times New Roman" w:hAnsi="Times New Roman" w:cs="Times New Roman"/>
          <w:sz w:val="18"/>
          <w:szCs w:val="18"/>
        </w:rPr>
        <w:footnoteRef/>
      </w:r>
      <w:r w:rsidRPr="003B0043">
        <w:rPr>
          <w:rFonts w:ascii="Times New Roman" w:hAnsi="Times New Roman" w:cs="Times New Roman"/>
          <w:sz w:val="18"/>
          <w:szCs w:val="18"/>
        </w:rPr>
        <w:t xml:space="preserve"> </w:t>
      </w:r>
      <w:r>
        <w:rPr>
          <w:rFonts w:ascii="Times New Roman" w:hAnsi="Times New Roman" w:cs="Times New Roman"/>
          <w:sz w:val="18"/>
          <w:szCs w:val="18"/>
        </w:rPr>
        <w:t>É</w:t>
      </w:r>
      <w:r w:rsidRPr="003B0043">
        <w:rPr>
          <w:rFonts w:ascii="Times New Roman" w:hAnsi="Times New Roman" w:cs="Times New Roman"/>
          <w:sz w:val="18"/>
          <w:szCs w:val="18"/>
          <w:shd w:val="clear" w:color="auto" w:fill="FFFFFF"/>
        </w:rPr>
        <w:t xml:space="preserve"> a parcela da produção de petróleo e/ou gás natural a ser repartida entre a União e a empresa, segundo critérios definidos em contrato, resultante da diferença entre o volume total da produção e as parcelas relativas ao custo em óleo e aos </w:t>
      </w:r>
      <w:r w:rsidRPr="003B0043">
        <w:rPr>
          <w:rStyle w:val="nfase"/>
          <w:rFonts w:ascii="Times New Roman" w:hAnsi="Times New Roman" w:cs="Times New Roman"/>
          <w:sz w:val="18"/>
          <w:szCs w:val="18"/>
          <w:shd w:val="clear" w:color="auto" w:fill="FFFFFF"/>
        </w:rPr>
        <w:t>royalties</w:t>
      </w:r>
      <w:r w:rsidRPr="003B0043">
        <w:rPr>
          <w:rFonts w:ascii="Times New Roman" w:hAnsi="Times New Roman" w:cs="Times New Roman"/>
          <w:sz w:val="18"/>
          <w:szCs w:val="18"/>
          <w:shd w:val="clear" w:color="auto" w:fill="FFFFFF"/>
        </w:rPr>
        <w:t> devidos.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footnotePr>
    <w:footnote w:id="-1"/>
    <w:footnote w:id="0"/>
  </w:footnotePr>
  <w:endnotePr>
    <w:endnote w:id="-1"/>
    <w:endnote w:id="0"/>
  </w:endnotePr>
  <w:compat/>
  <w:rsids>
    <w:rsidRoot w:val="0005109B"/>
    <w:rsid w:val="000032FE"/>
    <w:rsid w:val="0000391C"/>
    <w:rsid w:val="0005109B"/>
    <w:rsid w:val="0005257A"/>
    <w:rsid w:val="000633BF"/>
    <w:rsid w:val="000B2824"/>
    <w:rsid w:val="000D30A9"/>
    <w:rsid w:val="001158C8"/>
    <w:rsid w:val="00127B90"/>
    <w:rsid w:val="00136F49"/>
    <w:rsid w:val="00167C18"/>
    <w:rsid w:val="00193AD3"/>
    <w:rsid w:val="001C51C3"/>
    <w:rsid w:val="001F0C2D"/>
    <w:rsid w:val="00211D29"/>
    <w:rsid w:val="00225E72"/>
    <w:rsid w:val="002452A3"/>
    <w:rsid w:val="00257A94"/>
    <w:rsid w:val="0028563C"/>
    <w:rsid w:val="002B18E0"/>
    <w:rsid w:val="002C156D"/>
    <w:rsid w:val="003603B4"/>
    <w:rsid w:val="00383D22"/>
    <w:rsid w:val="003B3D97"/>
    <w:rsid w:val="003B64B0"/>
    <w:rsid w:val="003D68F5"/>
    <w:rsid w:val="00402A3C"/>
    <w:rsid w:val="004112D4"/>
    <w:rsid w:val="0042001F"/>
    <w:rsid w:val="00496451"/>
    <w:rsid w:val="004A6AC5"/>
    <w:rsid w:val="004C50E7"/>
    <w:rsid w:val="004F257B"/>
    <w:rsid w:val="0050165E"/>
    <w:rsid w:val="0051749F"/>
    <w:rsid w:val="00531825"/>
    <w:rsid w:val="00531A32"/>
    <w:rsid w:val="0060214C"/>
    <w:rsid w:val="00612F39"/>
    <w:rsid w:val="00626587"/>
    <w:rsid w:val="00636A19"/>
    <w:rsid w:val="0064499D"/>
    <w:rsid w:val="00645097"/>
    <w:rsid w:val="0064711A"/>
    <w:rsid w:val="00671537"/>
    <w:rsid w:val="006A5A73"/>
    <w:rsid w:val="006D5CCB"/>
    <w:rsid w:val="006D67D0"/>
    <w:rsid w:val="0070656F"/>
    <w:rsid w:val="007239FC"/>
    <w:rsid w:val="0073430A"/>
    <w:rsid w:val="00734A8E"/>
    <w:rsid w:val="00740B10"/>
    <w:rsid w:val="0076580B"/>
    <w:rsid w:val="00773FE0"/>
    <w:rsid w:val="00790ABC"/>
    <w:rsid w:val="00794F8B"/>
    <w:rsid w:val="007D5DFD"/>
    <w:rsid w:val="008160D6"/>
    <w:rsid w:val="008343E4"/>
    <w:rsid w:val="00845F5E"/>
    <w:rsid w:val="00870233"/>
    <w:rsid w:val="00910E77"/>
    <w:rsid w:val="00916626"/>
    <w:rsid w:val="00920733"/>
    <w:rsid w:val="00923790"/>
    <w:rsid w:val="009A3748"/>
    <w:rsid w:val="009C11C1"/>
    <w:rsid w:val="009C7395"/>
    <w:rsid w:val="009D774F"/>
    <w:rsid w:val="009F0A97"/>
    <w:rsid w:val="00A20BDF"/>
    <w:rsid w:val="00A3788E"/>
    <w:rsid w:val="00A47E2F"/>
    <w:rsid w:val="00A55FEA"/>
    <w:rsid w:val="00A6179E"/>
    <w:rsid w:val="00A854BA"/>
    <w:rsid w:val="00A9729F"/>
    <w:rsid w:val="00AC65DD"/>
    <w:rsid w:val="00AC78FB"/>
    <w:rsid w:val="00AD0904"/>
    <w:rsid w:val="00B40621"/>
    <w:rsid w:val="00B43D13"/>
    <w:rsid w:val="00B47CBD"/>
    <w:rsid w:val="00BE1EA7"/>
    <w:rsid w:val="00BF7125"/>
    <w:rsid w:val="00C04B80"/>
    <w:rsid w:val="00C13B97"/>
    <w:rsid w:val="00C24864"/>
    <w:rsid w:val="00C415E1"/>
    <w:rsid w:val="00C42CD3"/>
    <w:rsid w:val="00C71CD5"/>
    <w:rsid w:val="00C90DA5"/>
    <w:rsid w:val="00D12A6B"/>
    <w:rsid w:val="00D3521A"/>
    <w:rsid w:val="00D7038E"/>
    <w:rsid w:val="00D92B44"/>
    <w:rsid w:val="00DA7612"/>
    <w:rsid w:val="00DB674A"/>
    <w:rsid w:val="00DE4142"/>
    <w:rsid w:val="00E412EE"/>
    <w:rsid w:val="00E63CC3"/>
    <w:rsid w:val="00E94008"/>
    <w:rsid w:val="00EB71D6"/>
    <w:rsid w:val="00EC5919"/>
    <w:rsid w:val="00EE44A6"/>
    <w:rsid w:val="00EF2B9B"/>
    <w:rsid w:val="00EF6178"/>
    <w:rsid w:val="00F00D8C"/>
    <w:rsid w:val="00F07228"/>
    <w:rsid w:val="00F50006"/>
    <w:rsid w:val="00FE38F2"/>
    <w:rsid w:val="00FE4E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9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510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109B"/>
    <w:rPr>
      <w:sz w:val="20"/>
      <w:szCs w:val="20"/>
    </w:rPr>
  </w:style>
  <w:style w:type="character" w:styleId="Refdenotaderodap">
    <w:name w:val="footnote reference"/>
    <w:basedOn w:val="Fontepargpadro"/>
    <w:uiPriority w:val="99"/>
    <w:semiHidden/>
    <w:unhideWhenUsed/>
    <w:rsid w:val="0005109B"/>
    <w:rPr>
      <w:vertAlign w:val="superscript"/>
    </w:rPr>
  </w:style>
  <w:style w:type="character" w:styleId="nfase">
    <w:name w:val="Emphasis"/>
    <w:basedOn w:val="Fontepargpadro"/>
    <w:uiPriority w:val="20"/>
    <w:qFormat/>
    <w:rsid w:val="0005109B"/>
    <w:rPr>
      <w:i/>
      <w:iCs/>
    </w:rPr>
  </w:style>
  <w:style w:type="paragraph" w:customStyle="1" w:styleId="Centeredheading">
    <w:name w:val="Centered heading"/>
    <w:basedOn w:val="Normal"/>
    <w:next w:val="Normal"/>
    <w:rsid w:val="0005109B"/>
    <w:pPr>
      <w:keepNext/>
      <w:spacing w:after="240" w:line="240" w:lineRule="auto"/>
      <w:jc w:val="center"/>
    </w:pPr>
    <w:rPr>
      <w:rFonts w:ascii="Arial" w:eastAsia="Times New Roman" w:hAnsi="Arial" w:cs="Times New Roman"/>
      <w:b/>
      <w:sz w:val="18"/>
      <w:szCs w:val="20"/>
      <w:lang w:val="en-US" w:eastAsia="pt-BR"/>
    </w:rPr>
  </w:style>
  <w:style w:type="paragraph" w:styleId="Textodebalo">
    <w:name w:val="Balloon Text"/>
    <w:basedOn w:val="Normal"/>
    <w:link w:val="TextodebaloChar"/>
    <w:uiPriority w:val="99"/>
    <w:semiHidden/>
    <w:unhideWhenUsed/>
    <w:rsid w:val="000510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109B"/>
    <w:rPr>
      <w:rFonts w:ascii="Tahoma" w:hAnsi="Tahoma" w:cs="Tahoma"/>
      <w:sz w:val="16"/>
      <w:szCs w:val="16"/>
    </w:rPr>
  </w:style>
  <w:style w:type="paragraph" w:styleId="Cabealho">
    <w:name w:val="header"/>
    <w:basedOn w:val="Normal"/>
    <w:link w:val="CabealhoChar"/>
    <w:uiPriority w:val="99"/>
    <w:semiHidden/>
    <w:unhideWhenUsed/>
    <w:rsid w:val="00DB67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B674A"/>
  </w:style>
  <w:style w:type="paragraph" w:styleId="Rodap">
    <w:name w:val="footer"/>
    <w:basedOn w:val="Normal"/>
    <w:link w:val="RodapChar"/>
    <w:uiPriority w:val="99"/>
    <w:unhideWhenUsed/>
    <w:rsid w:val="00DB674A"/>
    <w:pPr>
      <w:tabs>
        <w:tab w:val="center" w:pos="4252"/>
        <w:tab w:val="right" w:pos="8504"/>
      </w:tabs>
      <w:spacing w:after="0" w:line="240" w:lineRule="auto"/>
    </w:pPr>
  </w:style>
  <w:style w:type="character" w:customStyle="1" w:styleId="RodapChar">
    <w:name w:val="Rodapé Char"/>
    <w:basedOn w:val="Fontepargpadro"/>
    <w:link w:val="Rodap"/>
    <w:uiPriority w:val="99"/>
    <w:rsid w:val="00DB67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839258-475F-436A-B272-842A078D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3185</Words>
  <Characters>17201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BORMANN</dc:creator>
  <cp:lastModifiedBy>BORMANN</cp:lastModifiedBy>
  <cp:revision>2</cp:revision>
  <dcterms:created xsi:type="dcterms:W3CDTF">2017-10-24T18:41:00Z</dcterms:created>
  <dcterms:modified xsi:type="dcterms:W3CDTF">2017-10-24T18:41:00Z</dcterms:modified>
</cp:coreProperties>
</file>